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37F0B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rPr>
        <w:t>Product Technical Specification</w:t>
      </w:r>
    </w:p>
    <w:p w14:paraId="5087C7E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Introduction</w:t>
      </w:r>
    </w:p>
    <w:p w14:paraId="1EC547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CR-2820 is a waterborne latent curing agent that can coexist stably for a long time with resins containing active groups (hydroxyl, carboxyl, amino, epoxy, etc.) at room temperature. After heat treatment at 110–120 °C, the released -NCO groups react with hydroxyl, carboxyl, amino and other groups to form crosslinks. It can significantly improve the color stability, adhesion, bonding fastness and cooking resistance of polyurethane, polyester, alkyd and acrylic resins, with excellent hand feel and yellowing resistance.</w:t>
      </w:r>
    </w:p>
    <w:p w14:paraId="62CAEE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p>
    <w:p w14:paraId="5848721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3013FF01">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Good hydrolysis resistance after curing.</w:t>
      </w:r>
    </w:p>
    <w:p w14:paraId="423B4B54">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Low deblocking temperature and excellent yellowing resistance.</w:t>
      </w:r>
    </w:p>
    <w:p w14:paraId="7F23574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360" w:leftChars="0" w:right="0" w:rightChars="0"/>
        <w:jc w:val="left"/>
        <w:rPr>
          <w:rFonts w:hint="default" w:ascii="Arial" w:hAnsi="Arial" w:cs="Arial"/>
          <w:color w:val="000000"/>
          <w:sz w:val="24"/>
          <w:szCs w:val="24"/>
        </w:rPr>
      </w:pPr>
    </w:p>
    <w:p w14:paraId="6E46BB5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Technical Parameters*</w:t>
      </w:r>
    </w:p>
    <w:tbl>
      <w:tblPr>
        <w:tblStyle w:val="6"/>
        <w:tblW w:w="0" w:type="auto"/>
        <w:tblInd w:w="0" w:type="dxa"/>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fixed"/>
        <w:tblCellMar>
          <w:top w:w="0" w:type="dxa"/>
          <w:left w:w="108" w:type="dxa"/>
          <w:bottom w:w="0" w:type="dxa"/>
          <w:right w:w="108" w:type="dxa"/>
        </w:tblCellMar>
      </w:tblPr>
      <w:tblGrid>
        <w:gridCol w:w="3616"/>
        <w:gridCol w:w="2191"/>
        <w:gridCol w:w="886"/>
        <w:gridCol w:w="2445"/>
      </w:tblGrid>
      <w:tr w14:paraId="551B5143">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3616" w:type="dxa"/>
            <w:tcBorders>
              <w:top w:val="single" w:color="auto" w:sz="4" w:space="0"/>
              <w:bottom w:val="single" w:color="auto" w:sz="4" w:space="0"/>
              <w:right w:val="nil"/>
            </w:tcBorders>
            <w:vAlign w:val="center"/>
          </w:tcPr>
          <w:p w14:paraId="30F8EEBB">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2191" w:type="dxa"/>
            <w:tcBorders>
              <w:top w:val="single" w:color="auto" w:sz="4" w:space="0"/>
              <w:left w:val="nil"/>
              <w:bottom w:val="single" w:color="auto" w:sz="4" w:space="0"/>
              <w:right w:val="nil"/>
            </w:tcBorders>
            <w:vAlign w:val="center"/>
          </w:tcPr>
          <w:p w14:paraId="3DE31CEB">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886" w:type="dxa"/>
            <w:tcBorders>
              <w:top w:val="single" w:color="auto" w:sz="4" w:space="0"/>
              <w:left w:val="nil"/>
              <w:bottom w:val="single" w:color="auto" w:sz="4" w:space="0"/>
              <w:right w:val="nil"/>
            </w:tcBorders>
            <w:vAlign w:val="center"/>
          </w:tcPr>
          <w:p w14:paraId="6F7CA4C6">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445" w:type="dxa"/>
            <w:tcBorders>
              <w:top w:val="single" w:color="auto" w:sz="4" w:space="0"/>
              <w:left w:val="nil"/>
              <w:bottom w:val="single" w:color="auto" w:sz="4" w:space="0"/>
            </w:tcBorders>
            <w:vAlign w:val="center"/>
          </w:tcPr>
          <w:p w14:paraId="69E8099F">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6CE91C16">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3616" w:type="dxa"/>
            <w:tcBorders>
              <w:top w:val="single" w:color="auto" w:sz="4" w:space="0"/>
              <w:bottom w:val="nil"/>
              <w:right w:val="nil"/>
            </w:tcBorders>
            <w:vAlign w:val="center"/>
          </w:tcPr>
          <w:p w14:paraId="59E13DC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191" w:type="dxa"/>
            <w:tcBorders>
              <w:top w:val="single" w:color="auto" w:sz="4" w:space="0"/>
              <w:left w:val="nil"/>
              <w:bottom w:val="nil"/>
              <w:right w:val="nil"/>
            </w:tcBorders>
            <w:vAlign w:val="center"/>
          </w:tcPr>
          <w:p w14:paraId="67C732D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Milky white liquid with blue tint</w:t>
            </w:r>
          </w:p>
        </w:tc>
        <w:tc>
          <w:tcPr>
            <w:tcW w:w="886" w:type="dxa"/>
            <w:tcBorders>
              <w:top w:val="single" w:color="auto" w:sz="4" w:space="0"/>
              <w:left w:val="nil"/>
              <w:bottom w:val="nil"/>
              <w:right w:val="nil"/>
            </w:tcBorders>
            <w:vAlign w:val="center"/>
          </w:tcPr>
          <w:p w14:paraId="20FC63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45" w:type="dxa"/>
            <w:tcBorders>
              <w:top w:val="single" w:color="auto" w:sz="4" w:space="0"/>
              <w:left w:val="nil"/>
              <w:bottom w:val="nil"/>
            </w:tcBorders>
            <w:vAlign w:val="center"/>
          </w:tcPr>
          <w:p w14:paraId="59B5214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65C52711">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616" w:type="dxa"/>
            <w:tcBorders>
              <w:top w:val="nil"/>
              <w:bottom w:val="nil"/>
              <w:right w:val="nil"/>
            </w:tcBorders>
            <w:vAlign w:val="center"/>
          </w:tcPr>
          <w:p w14:paraId="6B7BE0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191" w:type="dxa"/>
            <w:tcBorders>
              <w:top w:val="nil"/>
              <w:left w:val="nil"/>
              <w:bottom w:val="nil"/>
              <w:right w:val="nil"/>
            </w:tcBorders>
            <w:vAlign w:val="center"/>
          </w:tcPr>
          <w:p w14:paraId="638247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40±2</w:t>
            </w:r>
          </w:p>
        </w:tc>
        <w:tc>
          <w:tcPr>
            <w:tcW w:w="886" w:type="dxa"/>
            <w:tcBorders>
              <w:top w:val="nil"/>
              <w:left w:val="nil"/>
              <w:bottom w:val="nil"/>
              <w:right w:val="nil"/>
            </w:tcBorders>
            <w:vAlign w:val="center"/>
          </w:tcPr>
          <w:p w14:paraId="13B5A5C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45" w:type="dxa"/>
            <w:tcBorders>
              <w:top w:val="nil"/>
              <w:left w:val="nil"/>
              <w:bottom w:val="nil"/>
            </w:tcBorders>
            <w:vAlign w:val="center"/>
          </w:tcPr>
          <w:p w14:paraId="5D06B6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45ADF78F">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3616" w:type="dxa"/>
            <w:tcBorders>
              <w:top w:val="nil"/>
              <w:bottom w:val="nil"/>
              <w:right w:val="nil"/>
            </w:tcBorders>
            <w:vAlign w:val="center"/>
          </w:tcPr>
          <w:p w14:paraId="36EC4E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2191" w:type="dxa"/>
            <w:tcBorders>
              <w:top w:val="nil"/>
              <w:left w:val="nil"/>
              <w:bottom w:val="nil"/>
              <w:right w:val="nil"/>
            </w:tcBorders>
            <w:vAlign w:val="center"/>
          </w:tcPr>
          <w:p w14:paraId="11AC17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w:t>
            </w:r>
          </w:p>
        </w:tc>
        <w:tc>
          <w:tcPr>
            <w:tcW w:w="886" w:type="dxa"/>
            <w:tcBorders>
              <w:top w:val="nil"/>
              <w:left w:val="nil"/>
              <w:bottom w:val="nil"/>
              <w:right w:val="nil"/>
            </w:tcBorders>
            <w:vAlign w:val="center"/>
          </w:tcPr>
          <w:p w14:paraId="0BFD209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445" w:type="dxa"/>
            <w:tcBorders>
              <w:top w:val="nil"/>
              <w:left w:val="nil"/>
              <w:bottom w:val="nil"/>
            </w:tcBorders>
            <w:vAlign w:val="center"/>
          </w:tcPr>
          <w:p w14:paraId="30A0D5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37CE6A59">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616" w:type="dxa"/>
            <w:tcBorders>
              <w:top w:val="nil"/>
              <w:bottom w:val="nil"/>
              <w:right w:val="nil"/>
            </w:tcBorders>
            <w:vAlign w:val="center"/>
          </w:tcPr>
          <w:p w14:paraId="521CFCD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Ionicity</w:t>
            </w:r>
          </w:p>
        </w:tc>
        <w:tc>
          <w:tcPr>
            <w:tcW w:w="2191" w:type="dxa"/>
            <w:tcBorders>
              <w:top w:val="nil"/>
              <w:left w:val="nil"/>
              <w:bottom w:val="nil"/>
              <w:right w:val="nil"/>
            </w:tcBorders>
            <w:vAlign w:val="center"/>
          </w:tcPr>
          <w:p w14:paraId="03B259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Anionic</w:t>
            </w:r>
          </w:p>
        </w:tc>
        <w:tc>
          <w:tcPr>
            <w:tcW w:w="886" w:type="dxa"/>
            <w:tcBorders>
              <w:top w:val="nil"/>
              <w:left w:val="nil"/>
              <w:bottom w:val="nil"/>
              <w:right w:val="nil"/>
            </w:tcBorders>
            <w:vAlign w:val="center"/>
          </w:tcPr>
          <w:p w14:paraId="75EB2FA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45" w:type="dxa"/>
            <w:tcBorders>
              <w:top w:val="nil"/>
              <w:left w:val="nil"/>
              <w:bottom w:val="nil"/>
            </w:tcBorders>
            <w:vAlign w:val="center"/>
          </w:tcPr>
          <w:p w14:paraId="1586E63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64B7914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616" w:type="dxa"/>
            <w:tcBorders>
              <w:top w:val="nil"/>
              <w:bottom w:val="nil"/>
              <w:right w:val="nil"/>
            </w:tcBorders>
            <w:vAlign w:val="center"/>
          </w:tcPr>
          <w:p w14:paraId="48C453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Density</w:t>
            </w:r>
          </w:p>
        </w:tc>
        <w:tc>
          <w:tcPr>
            <w:tcW w:w="2191" w:type="dxa"/>
            <w:tcBorders>
              <w:top w:val="nil"/>
              <w:left w:val="nil"/>
              <w:bottom w:val="nil"/>
              <w:right w:val="nil"/>
            </w:tcBorders>
            <w:vAlign w:val="center"/>
          </w:tcPr>
          <w:p w14:paraId="3906C6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1.15–1.25</w:t>
            </w:r>
          </w:p>
        </w:tc>
        <w:tc>
          <w:tcPr>
            <w:tcW w:w="886" w:type="dxa"/>
            <w:tcBorders>
              <w:top w:val="nil"/>
              <w:left w:val="nil"/>
              <w:bottom w:val="nil"/>
              <w:right w:val="nil"/>
            </w:tcBorders>
            <w:vAlign w:val="center"/>
          </w:tcPr>
          <w:p w14:paraId="6DD3B6B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g/cm³</w:t>
            </w:r>
          </w:p>
        </w:tc>
        <w:tc>
          <w:tcPr>
            <w:tcW w:w="2445" w:type="dxa"/>
            <w:tcBorders>
              <w:top w:val="nil"/>
              <w:left w:val="nil"/>
              <w:bottom w:val="nil"/>
            </w:tcBorders>
            <w:vAlign w:val="center"/>
          </w:tcPr>
          <w:p w14:paraId="47AE28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4472-2011</w:t>
            </w:r>
          </w:p>
        </w:tc>
      </w:tr>
      <w:tr w14:paraId="3A496A8B">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616" w:type="dxa"/>
            <w:tcBorders>
              <w:top w:val="nil"/>
              <w:bottom w:val="nil"/>
              <w:right w:val="nil"/>
            </w:tcBorders>
            <w:vAlign w:val="center"/>
          </w:tcPr>
          <w:p w14:paraId="7EC8D86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NCO Content After Deblocking</w:t>
            </w:r>
          </w:p>
        </w:tc>
        <w:tc>
          <w:tcPr>
            <w:tcW w:w="2191" w:type="dxa"/>
            <w:tcBorders>
              <w:top w:val="nil"/>
              <w:left w:val="nil"/>
              <w:bottom w:val="nil"/>
              <w:right w:val="nil"/>
            </w:tcBorders>
            <w:vAlign w:val="center"/>
          </w:tcPr>
          <w:p w14:paraId="080177F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4.5–5.0</w:t>
            </w:r>
          </w:p>
        </w:tc>
        <w:tc>
          <w:tcPr>
            <w:tcW w:w="886" w:type="dxa"/>
            <w:tcBorders>
              <w:top w:val="nil"/>
              <w:left w:val="nil"/>
              <w:bottom w:val="nil"/>
              <w:right w:val="nil"/>
            </w:tcBorders>
            <w:vAlign w:val="center"/>
          </w:tcPr>
          <w:p w14:paraId="52E82D5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45" w:type="dxa"/>
            <w:tcBorders>
              <w:top w:val="nil"/>
              <w:left w:val="nil"/>
              <w:bottom w:val="nil"/>
            </w:tcBorders>
            <w:vAlign w:val="center"/>
          </w:tcPr>
          <w:p w14:paraId="2E1469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70BBB57C">
        <w:tblPrEx>
          <w:tblBorders>
            <w:top w:val="none" w:color="auto" w:sz="6" w:space="0"/>
            <w:left w:val="none" w:color="auto" w:sz="6" w:space="0"/>
            <w:bottom w:val="none" w:color="auto" w:sz="6" w:space="0"/>
            <w:right w:val="none" w:color="auto" w:sz="6"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3616" w:type="dxa"/>
            <w:tcBorders>
              <w:top w:val="nil"/>
              <w:bottom w:val="single" w:color="000000" w:sz="4" w:space="0"/>
              <w:right w:val="nil"/>
            </w:tcBorders>
            <w:vAlign w:val="center"/>
          </w:tcPr>
          <w:p w14:paraId="1BE940D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Deblocking Temperature</w:t>
            </w:r>
          </w:p>
        </w:tc>
        <w:tc>
          <w:tcPr>
            <w:tcW w:w="2191" w:type="dxa"/>
            <w:tcBorders>
              <w:top w:val="nil"/>
              <w:left w:val="nil"/>
              <w:bottom w:val="single" w:color="000000" w:sz="4" w:space="0"/>
              <w:right w:val="nil"/>
            </w:tcBorders>
            <w:vAlign w:val="center"/>
          </w:tcPr>
          <w:p w14:paraId="0A3B09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110–120</w:t>
            </w:r>
          </w:p>
        </w:tc>
        <w:tc>
          <w:tcPr>
            <w:tcW w:w="886" w:type="dxa"/>
            <w:tcBorders>
              <w:top w:val="nil"/>
              <w:left w:val="nil"/>
              <w:bottom w:val="single" w:color="000000" w:sz="4" w:space="0"/>
              <w:right w:val="nil"/>
            </w:tcBorders>
            <w:vAlign w:val="center"/>
          </w:tcPr>
          <w:p w14:paraId="0D6762C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45" w:type="dxa"/>
            <w:tcBorders>
              <w:top w:val="nil"/>
              <w:left w:val="nil"/>
              <w:bottom w:val="single" w:color="000000" w:sz="4" w:space="0"/>
            </w:tcBorders>
            <w:vAlign w:val="center"/>
          </w:tcPr>
          <w:p w14:paraId="00B303D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4ED841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555850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color w:val="000000"/>
          <w:kern w:val="0"/>
          <w:sz w:val="24"/>
          <w:szCs w:val="24"/>
          <w:lang w:val="en-US" w:eastAsia="zh-CN" w:bidi="ar"/>
        </w:rPr>
      </w:pPr>
    </w:p>
    <w:p w14:paraId="5740740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Applications</w:t>
      </w:r>
    </w:p>
    <w:p w14:paraId="08A49937">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Used as an internal crosslinker for one-component heat-curable waterborne coatings to significantly improve water resistance, chemical resistance, abrasion resistance, adhesion and mechanical properties of waterborne resin films.</w:t>
      </w:r>
    </w:p>
    <w:p w14:paraId="6B411B52">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Used as an additive for three-proof emulsions to fix organic fluorine/silicone on cotton or polyester fibers and increase washing resistance of three-proof fabrics.</w:t>
      </w:r>
    </w:p>
    <w:p w14:paraId="332A4194">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Used as an internal crosslinker for textile coatings and printing adhesives to enhance adhesion, washing resistance, abrasion resistance and color stability.</w:t>
      </w:r>
    </w:p>
    <w:p w14:paraId="6DB69FA3">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Used as an internal crosslinker for one-component metal baking finishes, replacing amino resins to reduce brittleness, formaldehyde-free and excellent yellowing resistance.</w:t>
      </w:r>
    </w:p>
    <w:p w14:paraId="3060155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Used as a treatment agent for polyester or polyester cord fabric to improve adhesion between polyester and rubber.</w:t>
      </w:r>
    </w:p>
    <w:p w14:paraId="64ABBB2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p>
    <w:p w14:paraId="57D91D5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Storage</w:t>
      </w:r>
    </w:p>
    <w:p w14:paraId="1010D588">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Store in the original sealed container.</w:t>
      </w:r>
    </w:p>
    <w:p w14:paraId="09671EA6">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Recommended storage temperature: 5–30 °C.</w:t>
      </w:r>
    </w:p>
    <w:p w14:paraId="40BF30B2">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Avoid direct sunlight and contamination by other substances.</w:t>
      </w:r>
    </w:p>
    <w:p w14:paraId="694B1BF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p>
    <w:p w14:paraId="05365EE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Shelf Life</w:t>
      </w:r>
    </w:p>
    <w:p w14:paraId="79BAC2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bookmarkStart w:id="0" w:name="_GoBack"/>
      <w:bookmarkEnd w:id="0"/>
      <w:r>
        <w:rPr>
          <w:rFonts w:hint="default" w:ascii="Arial" w:hAnsi="Arial" w:eastAsia="宋体" w:cs="Arial"/>
          <w:color w:val="000000"/>
          <w:kern w:val="0"/>
          <w:sz w:val="24"/>
          <w:szCs w:val="24"/>
          <w:lang w:val="en-US" w:eastAsia="zh-CN" w:bidi="ar"/>
        </w:rPr>
        <w:t>Use within 12 months from the production date.</w:t>
      </w:r>
    </w:p>
    <w:p w14:paraId="386D05FF">
      <w:pPr>
        <w:pStyle w:val="9"/>
        <w:rPr>
          <w:rFonts w:hint="default" w:ascii="Arial" w:hAnsi="Arial" w:eastAsia="微软雅黑" w:cs="Arial"/>
          <w:sz w:val="24"/>
          <w:szCs w:val="24"/>
          <w:lang w:val="en-US" w:eastAsia="zh-CN"/>
        </w:rPr>
      </w:pPr>
    </w:p>
    <w:p w14:paraId="1850E7F0">
      <w:pPr>
        <w:pStyle w:val="9"/>
        <w:rPr>
          <w:rFonts w:hint="default" w:ascii="Arial" w:hAnsi="Arial" w:eastAsia="微软雅黑" w:cs="Arial"/>
          <w:sz w:val="24"/>
          <w:szCs w:val="24"/>
          <w:lang w:val="en-US" w:eastAsia="zh-CN"/>
        </w:rPr>
      </w:pPr>
    </w:p>
    <w:p w14:paraId="4D607D95">
      <w:pPr>
        <w:pStyle w:val="9"/>
        <w:rPr>
          <w:rFonts w:hint="default" w:ascii="Arial" w:hAnsi="Arial" w:eastAsia="微软雅黑" w:cs="Arial"/>
          <w:sz w:val="24"/>
          <w:szCs w:val="24"/>
          <w:lang w:val="en-US" w:eastAsia="zh-CN"/>
        </w:rPr>
      </w:pPr>
    </w:p>
    <w:p w14:paraId="764675C0">
      <w:pPr>
        <w:pStyle w:val="9"/>
        <w:rPr>
          <w:rFonts w:hint="default" w:ascii="Arial" w:hAnsi="Arial" w:eastAsia="微软雅黑" w:cs="Arial"/>
          <w:sz w:val="24"/>
          <w:szCs w:val="24"/>
          <w:lang w:val="en-US" w:eastAsia="zh-CN"/>
        </w:rPr>
      </w:pPr>
    </w:p>
    <w:p w14:paraId="3AF0CB77">
      <w:pPr>
        <w:pStyle w:val="9"/>
        <w:rPr>
          <w:rFonts w:hint="default" w:ascii="Arial" w:hAnsi="Arial" w:eastAsia="微软雅黑" w:cs="Arial"/>
          <w:sz w:val="24"/>
          <w:szCs w:val="24"/>
          <w:lang w:val="en-US" w:eastAsia="zh-CN"/>
        </w:rPr>
      </w:pPr>
    </w:p>
    <w:p w14:paraId="661447DA">
      <w:pPr>
        <w:pStyle w:val="9"/>
        <w:rPr>
          <w:rFonts w:hint="default" w:ascii="Arial" w:hAnsi="Arial" w:eastAsia="微软雅黑" w:cs="Arial"/>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vAlign w:val="top"/>
          </w:tcPr>
          <w:p w14:paraId="2EEA9F0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2C732953">
      <w:pPr>
        <w:spacing w:line="360" w:lineRule="auto"/>
        <w:jc w:val="left"/>
        <w:rPr>
          <w:rFonts w:hint="default" w:ascii="Arial" w:hAnsi="Arial" w:eastAsia="微软雅黑" w:cs="Arial"/>
          <w:b/>
          <w:bCs/>
          <w:sz w:val="24"/>
          <w:szCs w:val="24"/>
        </w:rPr>
      </w:pPr>
    </w:p>
    <w:sectPr>
      <w:headerReference r:id="rId4" w:type="first"/>
      <w:footerReference r:id="rId6" w:type="first"/>
      <w:headerReference r:id="rId3" w:type="default"/>
      <w:footerReference r:id="rId5" w:type="default"/>
      <w:pgSz w:w="11906" w:h="16838"/>
      <w:pgMar w:top="850" w:right="1417" w:bottom="850" w:left="1417" w:header="851" w:footer="680"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4306570</wp:posOffset>
              </wp:positionH>
              <wp:positionV relativeFrom="paragraph">
                <wp:posOffset>-17145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CR</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2820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9.1pt;margin-top:-1.35pt;height:48.75pt;width:125.75pt;z-index:251659264;mso-width-relative:page;mso-height-relative:page;" filled="f" stroked="f" coordsize="21600,21600" o:gfxdata="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PjKC9oAAAAJAQAADwAAAAAAAAABACAAAAAiAAAAZHJz&#10;L2Rvd25yZXYueG1sUEsBAhQAFAAAAAgAh07iQEioBGs7AgAAZgQAAA4AAAAAAAAAAQAgAAAAKQEA&#10;AGRycy9lMm9Eb2MueG1sUEsFBgAAAAAGAAYAWQEAANYFA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CR</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2820</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3646805</wp:posOffset>
              </wp:positionH>
              <wp:positionV relativeFrom="paragraph">
                <wp:posOffset>416560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pPr>
                          <w:r>
                            <w:rPr>
                              <w:rFonts w:hint="default" w:ascii="Arial" w:hAnsi="Arial" w:eastAsia="微软雅黑" w:cs="Arial"/>
                              <w:b/>
                              <w:bCs/>
                              <w:color w:val="00A2E9"/>
                              <w:sz w:val="28"/>
                              <w:szCs w:val="28"/>
                              <w14:shadow w14:blurRad="38100" w14:dist="19050" w14:dir="2700000" w14:sx="100000" w14:sy="100000" w14:kx="0" w14:ky="0" w14:algn="tl">
                                <w14:schemeClr w14:val="dk1">
                                  <w14:alpha w14:val="60000"/>
                                </w14:schemeClr>
                              </w14:shadow>
                            </w:rPr>
                            <w:t>Waterborne Latent Curing A</w:t>
                          </w:r>
                          <w: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t>gent</w:t>
                          </w:r>
                        </w:p>
                        <w:p w14:paraId="1CF2C3E6">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7.15pt;margin-top:32.8pt;height:47.8pt;width:144pt;mso-wrap-style:none;z-index:251661312;mso-width-relative:page;mso-height-relative:page;" filled="f" stroked="f" coordsize="21600,21600" o:gfxdata="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Ag9GpdwAAAAKAQAADwAAAAAAAAABACAAAAAiAAAAZHJz&#10;L2Rvd25yZXYueG1sUEsBAhQAFAAAAAgAh07iQFZEBD85AgAAZAQAAA4AAAAAAAAAAQAgAAAAKwEA&#10;AGRycy9lMm9Eb2MueG1sUEsFBgAAAAAGAAYAWQEAANYFAAAAAA==&#10;">
              <v:fill on="f" focussize="0,0"/>
              <v:stroke on="f" weight="0.5pt"/>
              <v:imagedata o:title=""/>
              <o:lock v:ext="edit" aspectratio="f"/>
              <v:textbox>
                <w:txbxContent>
                  <w:p w14:paraId="1C677FE1">
                    <w:pP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pPr>
                    <w:r>
                      <w:rPr>
                        <w:rFonts w:hint="default" w:ascii="Arial" w:hAnsi="Arial" w:eastAsia="微软雅黑" w:cs="Arial"/>
                        <w:b/>
                        <w:bCs/>
                        <w:color w:val="00A2E9"/>
                        <w:sz w:val="28"/>
                        <w:szCs w:val="28"/>
                        <w14:shadow w14:blurRad="38100" w14:dist="19050" w14:dir="2700000" w14:sx="100000" w14:sy="100000" w14:kx="0" w14:ky="0" w14:algn="tl">
                          <w14:schemeClr w14:val="dk1">
                            <w14:alpha w14:val="60000"/>
                          </w14:schemeClr>
                        </w14:shadow>
                      </w:rPr>
                      <w:t>Waterborne Latent Curing A</w:t>
                    </w:r>
                    <w:r>
                      <w:rPr>
                        <w:rFonts w:hint="eastAsia" w:ascii="微软雅黑" w:hAnsi="微软雅黑" w:eastAsia="微软雅黑" w:cs="微软雅黑"/>
                        <w:b/>
                        <w:bCs/>
                        <w:color w:val="00A2E9"/>
                        <w:sz w:val="28"/>
                        <w:szCs w:val="28"/>
                        <w14:shadow w14:blurRad="38100" w14:dist="19050" w14:dir="2700000" w14:sx="100000" w14:sy="100000" w14:kx="0" w14:ky="0" w14:algn="tl">
                          <w14:schemeClr w14:val="dk1">
                            <w14:alpha w14:val="60000"/>
                          </w14:schemeClr>
                        </w14:shadow>
                      </w:rPr>
                      <w:t>gent</w:t>
                    </w:r>
                  </w:p>
                  <w:p w14:paraId="1CF2C3E6">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657A7"/>
    <w:multiLevelType w:val="singleLevel"/>
    <w:tmpl w:val="899657A7"/>
    <w:lvl w:ilvl="0" w:tentative="0">
      <w:start w:val="1"/>
      <w:numFmt w:val="decimal"/>
      <w:lvlText w:val="%1."/>
      <w:lvlJc w:val="left"/>
      <w:pPr>
        <w:ind w:left="425" w:hanging="425"/>
      </w:pPr>
      <w:rPr>
        <w:rFonts w:hint="default"/>
      </w:rPr>
    </w:lvl>
  </w:abstractNum>
  <w:abstractNum w:abstractNumId="1">
    <w:nsid w:val="AED670A2"/>
    <w:multiLevelType w:val="singleLevel"/>
    <w:tmpl w:val="AED670A2"/>
    <w:lvl w:ilvl="0" w:tentative="0">
      <w:start w:val="1"/>
      <w:numFmt w:val="decimal"/>
      <w:lvlText w:val="%1."/>
      <w:lvlJc w:val="left"/>
      <w:pPr>
        <w:ind w:left="425" w:hanging="425"/>
      </w:pPr>
      <w:rPr>
        <w:rFonts w:hint="default"/>
      </w:rPr>
    </w:lvl>
  </w:abstractNum>
  <w:abstractNum w:abstractNumId="2">
    <w:nsid w:val="339C8B04"/>
    <w:multiLevelType w:val="singleLevel"/>
    <w:tmpl w:val="339C8B04"/>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04443A"/>
    <w:rsid w:val="001120FA"/>
    <w:rsid w:val="00136635"/>
    <w:rsid w:val="00156019"/>
    <w:rsid w:val="00200121"/>
    <w:rsid w:val="00267E20"/>
    <w:rsid w:val="00296707"/>
    <w:rsid w:val="002F6D5B"/>
    <w:rsid w:val="003550AC"/>
    <w:rsid w:val="00455912"/>
    <w:rsid w:val="00463125"/>
    <w:rsid w:val="004E289A"/>
    <w:rsid w:val="00505831"/>
    <w:rsid w:val="00527365"/>
    <w:rsid w:val="00596990"/>
    <w:rsid w:val="007F7F2C"/>
    <w:rsid w:val="00867CB0"/>
    <w:rsid w:val="00912B14"/>
    <w:rsid w:val="0097112D"/>
    <w:rsid w:val="00CB0C2A"/>
    <w:rsid w:val="00CB1423"/>
    <w:rsid w:val="00CE110F"/>
    <w:rsid w:val="00D33741"/>
    <w:rsid w:val="00D55D1D"/>
    <w:rsid w:val="00E30EB9"/>
    <w:rsid w:val="00EB567E"/>
    <w:rsid w:val="00F02A8D"/>
    <w:rsid w:val="00F253D2"/>
    <w:rsid w:val="00F821B8"/>
    <w:rsid w:val="00FC15AA"/>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EB81823"/>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8726A8"/>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4764FA"/>
    <w:rsid w:val="5CAC0BE1"/>
    <w:rsid w:val="5D3E405D"/>
    <w:rsid w:val="5D4B0BE0"/>
    <w:rsid w:val="5D5C4B9B"/>
    <w:rsid w:val="5DA90B12"/>
    <w:rsid w:val="5E161FB4"/>
    <w:rsid w:val="5F897FFB"/>
    <w:rsid w:val="5F921216"/>
    <w:rsid w:val="600357A2"/>
    <w:rsid w:val="60896C0E"/>
    <w:rsid w:val="60F670B5"/>
    <w:rsid w:val="61577E9E"/>
    <w:rsid w:val="61AB4343"/>
    <w:rsid w:val="61B27270"/>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343</Words>
  <Characters>2142</Characters>
  <Lines>43</Lines>
  <Paragraphs>59</Paragraphs>
  <TotalTime>1</TotalTime>
  <ScaleCrop>false</ScaleCrop>
  <LinksUpToDate>false</LinksUpToDate>
  <CharactersWithSpaces>2431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2024-09-04T03:25:00Z</dcterms:created>
  <dc:creator>Davis</dc:creator>
  <cp:lastModifiedBy>戴眼镜的麻杆。</cp:lastModifiedBy>
  <cp:lastPrinted>2024-06-20T10:29:00Z</cp:lastPrinted>
  <dcterms:modified xsi:type="dcterms:W3CDTF">2026-04-21T03:07:40Z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