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75C4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80" w:lineRule="auto"/>
        <w:ind w:left="0" w:right="0"/>
        <w:jc w:val="center"/>
        <w:textAlignment w:val="auto"/>
        <w:rPr>
          <w:rFonts w:hint="default" w:ascii="Arial" w:hAnsi="Arial" w:cs="Arial"/>
          <w:color w:val="000000"/>
          <w:sz w:val="32"/>
          <w:szCs w:val="32"/>
        </w:rPr>
      </w:pPr>
      <w:r>
        <w:rPr>
          <w:rFonts w:hint="default" w:ascii="Arial" w:hAnsi="Arial" w:cs="Arial"/>
          <w:color w:val="000000"/>
          <w:sz w:val="32"/>
          <w:szCs w:val="32"/>
          <w:bdr w:val="none" w:color="auto" w:sz="0" w:space="0"/>
        </w:rPr>
        <w:t>Product Technical Specification</w:t>
      </w:r>
    </w:p>
    <w:p w14:paraId="0A0AA39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360" w:lineRule="auto"/>
        <w:ind w:left="0" w:right="0"/>
        <w:textAlignment w:val="auto"/>
        <w:rPr>
          <w:rFonts w:hint="default" w:ascii="Arial" w:hAnsi="Arial" w:cs="Arial"/>
          <w:color w:val="000000"/>
          <w:sz w:val="28"/>
          <w:szCs w:val="28"/>
        </w:rPr>
      </w:pPr>
      <w:r>
        <w:rPr>
          <w:rFonts w:hint="default" w:ascii="Arial" w:hAnsi="Arial" w:cs="Arial"/>
          <w:color w:val="000000"/>
          <w:sz w:val="28"/>
          <w:szCs w:val="28"/>
          <w:bdr w:val="none" w:color="auto" w:sz="0" w:space="0"/>
        </w:rPr>
        <w:t>Product Introduction</w:t>
      </w:r>
    </w:p>
    <w:p w14:paraId="5EE170B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00" w:lineRule="exac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CN-301Y is a cationic waterborne polyurethane resin. It is safe, non-toxic, odorless and non-irritating. The film is transparent, smooth, medium-hard, non-sticky with good adhesion. It can be used as a waterborne adhesive or coating for metal, plastics (PVC, PET, PC, ABS, etc.), rubber (NBR, etc.), leather and other substrates. The environmental test results of this product meet the standards of Europe, America and Japan.</w:t>
      </w:r>
    </w:p>
    <w:p w14:paraId="7D5C676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360" w:lineRule="auto"/>
        <w:ind w:left="0" w:right="0"/>
        <w:jc w:val="left"/>
        <w:textAlignment w:val="auto"/>
        <w:rPr>
          <w:rFonts w:hint="default" w:ascii="Arial" w:hAnsi="Arial" w:cs="Arial"/>
          <w:color w:val="000000"/>
          <w:sz w:val="28"/>
          <w:szCs w:val="28"/>
        </w:rPr>
      </w:pPr>
      <w:r>
        <w:rPr>
          <w:rFonts w:hint="default" w:ascii="Arial" w:hAnsi="Arial" w:cs="Arial"/>
          <w:color w:val="000000"/>
          <w:sz w:val="28"/>
          <w:szCs w:val="28"/>
        </w:rPr>
        <w:t>Product Features</w:t>
      </w:r>
    </w:p>
    <w:p w14:paraId="0FCA4439">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00" w:lineRule="exac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Eco-friendly emulsion, free of toxic substances such as formaldehyde, nonylphenol, heavy metals, polycyclic aromatic hydrocarbons (PAHs) and DMF.</w:t>
      </w:r>
    </w:p>
    <w:p w14:paraId="6081626C">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00" w:lineRule="exac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Transpa</w:t>
      </w:r>
      <w:r>
        <w:rPr>
          <w:rFonts w:hint="default" w:ascii="Arial" w:hAnsi="Arial" w:cs="Arial"/>
          <w:color w:val="000000"/>
          <w:sz w:val="24"/>
          <w:szCs w:val="24"/>
        </w:rPr>
        <w:t>rent and smooth film, medium-hard and non-sticky surface with excellent flexibility.</w:t>
      </w:r>
    </w:p>
    <w:p w14:paraId="7DE7EBF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00" w:lineRule="exac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Excellent adhesion to most substrates.</w:t>
      </w:r>
    </w:p>
    <w:p w14:paraId="6DD03D9E">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00" w:lineRule="exac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Can be used with our company’s waterborne curing agents (CN-G118/120) to enhance resi</w:t>
      </w:r>
      <w:r>
        <w:rPr>
          <w:rFonts w:hint="default" w:ascii="Arial" w:hAnsi="Arial" w:cs="Arial"/>
          <w:color w:val="000000"/>
          <w:sz w:val="24"/>
          <w:szCs w:val="24"/>
          <w:bdr w:val="none" w:color="auto" w:sz="0" w:space="0"/>
        </w:rPr>
        <w:t>n performance.</w:t>
      </w:r>
    </w:p>
    <w:p w14:paraId="30A1CA1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360" w:lineRule="auto"/>
        <w:ind w:left="0" w:right="0"/>
        <w:jc w:val="left"/>
        <w:textAlignment w:val="auto"/>
        <w:rPr>
          <w:rFonts w:hint="default" w:ascii="Arial" w:hAnsi="Arial" w:cs="Arial"/>
          <w:color w:val="000000"/>
          <w:sz w:val="28"/>
          <w:szCs w:val="28"/>
        </w:rPr>
      </w:pPr>
      <w:r>
        <w:rPr>
          <w:rFonts w:hint="default" w:ascii="Arial" w:hAnsi="Arial" w:cs="Arial"/>
          <w:color w:val="000000"/>
          <w:sz w:val="28"/>
          <w:szCs w:val="28"/>
        </w:rPr>
        <w:t>Technical Parameters*</w:t>
      </w:r>
    </w:p>
    <w:p w14:paraId="6F80A2D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Arial" w:hAnsi="Arial" w:eastAsia="微软雅黑" w:cs="Arial"/>
          <w:b/>
          <w:bCs/>
          <w:sz w:val="24"/>
          <w:szCs w:val="24"/>
        </w:rPr>
      </w:pPr>
    </w:p>
    <w:tbl>
      <w:tblPr>
        <w:tblStyle w:val="6"/>
        <w:tblW w:w="87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2"/>
        <w:gridCol w:w="2466"/>
        <w:gridCol w:w="1548"/>
        <w:gridCol w:w="3042"/>
      </w:tblGrid>
      <w:tr w14:paraId="6474D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672" w:type="dxa"/>
            <w:tcBorders>
              <w:left w:val="nil"/>
              <w:bottom w:val="nil"/>
              <w:right w:val="nil"/>
            </w:tcBorders>
            <w:vAlign w:val="center"/>
          </w:tcPr>
          <w:p w14:paraId="7FE7E674">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Item</w:t>
            </w:r>
          </w:p>
        </w:tc>
        <w:tc>
          <w:tcPr>
            <w:tcW w:w="2466" w:type="dxa"/>
            <w:tcBorders>
              <w:top w:val="single" w:color="auto" w:sz="4" w:space="0"/>
              <w:left w:val="nil"/>
              <w:bottom w:val="nil"/>
              <w:right w:val="nil"/>
            </w:tcBorders>
            <w:vAlign w:val="center"/>
          </w:tcPr>
          <w:p w14:paraId="6ED66C60">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Parameter</w:t>
            </w:r>
          </w:p>
        </w:tc>
        <w:tc>
          <w:tcPr>
            <w:tcW w:w="1548" w:type="dxa"/>
            <w:tcBorders>
              <w:top w:val="single" w:color="auto" w:sz="4" w:space="0"/>
              <w:left w:val="nil"/>
              <w:bottom w:val="nil"/>
              <w:right w:val="nil"/>
            </w:tcBorders>
            <w:vAlign w:val="center"/>
          </w:tcPr>
          <w:p w14:paraId="28DBDFF8">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Unit</w:t>
            </w:r>
          </w:p>
        </w:tc>
        <w:tc>
          <w:tcPr>
            <w:tcW w:w="3042" w:type="dxa"/>
            <w:tcBorders>
              <w:top w:val="single" w:color="auto" w:sz="4" w:space="0"/>
              <w:left w:val="nil"/>
              <w:bottom w:val="nil"/>
              <w:right w:val="nil"/>
            </w:tcBorders>
            <w:vAlign w:val="center"/>
          </w:tcPr>
          <w:p w14:paraId="500F393A">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Test Method</w:t>
            </w:r>
          </w:p>
        </w:tc>
      </w:tr>
      <w:tr w14:paraId="4E5F7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672" w:type="dxa"/>
            <w:tcBorders>
              <w:left w:val="nil"/>
              <w:bottom w:val="nil"/>
              <w:right w:val="nil"/>
            </w:tcBorders>
            <w:vAlign w:val="center"/>
          </w:tcPr>
          <w:p w14:paraId="721BE852">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Appearance</w:t>
            </w:r>
          </w:p>
        </w:tc>
        <w:tc>
          <w:tcPr>
            <w:tcW w:w="2466" w:type="dxa"/>
            <w:tcBorders>
              <w:top w:val="single" w:color="auto" w:sz="4" w:space="0"/>
              <w:left w:val="nil"/>
              <w:bottom w:val="nil"/>
              <w:right w:val="nil"/>
            </w:tcBorders>
            <w:vAlign w:val="center"/>
          </w:tcPr>
          <w:p w14:paraId="54EF9256">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Bluish translucent liquid</w:t>
            </w:r>
          </w:p>
        </w:tc>
        <w:tc>
          <w:tcPr>
            <w:tcW w:w="1548" w:type="dxa"/>
            <w:tcBorders>
              <w:top w:val="single" w:color="auto" w:sz="4" w:space="0"/>
              <w:left w:val="nil"/>
              <w:bottom w:val="nil"/>
              <w:right w:val="nil"/>
            </w:tcBorders>
            <w:vAlign w:val="center"/>
          </w:tcPr>
          <w:p w14:paraId="26776B8F">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3042" w:type="dxa"/>
            <w:tcBorders>
              <w:top w:val="single" w:color="auto" w:sz="4" w:space="0"/>
              <w:left w:val="nil"/>
              <w:bottom w:val="nil"/>
              <w:right w:val="nil"/>
            </w:tcBorders>
            <w:vAlign w:val="center"/>
          </w:tcPr>
          <w:p w14:paraId="187DE6E9">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14074.1-1993</w:t>
            </w:r>
          </w:p>
        </w:tc>
      </w:tr>
      <w:tr w14:paraId="2E82D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672" w:type="dxa"/>
            <w:tcBorders>
              <w:top w:val="nil"/>
              <w:left w:val="nil"/>
              <w:bottom w:val="nil"/>
              <w:right w:val="nil"/>
            </w:tcBorders>
            <w:vAlign w:val="center"/>
          </w:tcPr>
          <w:p w14:paraId="5348CFCF">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Solid Content</w:t>
            </w:r>
          </w:p>
        </w:tc>
        <w:tc>
          <w:tcPr>
            <w:tcW w:w="2466" w:type="dxa"/>
            <w:tcBorders>
              <w:top w:val="nil"/>
              <w:left w:val="nil"/>
              <w:bottom w:val="nil"/>
              <w:right w:val="nil"/>
            </w:tcBorders>
            <w:vAlign w:val="center"/>
          </w:tcPr>
          <w:p w14:paraId="7B3F5D24">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35.00±1.00</w:t>
            </w:r>
          </w:p>
        </w:tc>
        <w:tc>
          <w:tcPr>
            <w:tcW w:w="1548" w:type="dxa"/>
            <w:tcBorders>
              <w:top w:val="nil"/>
              <w:left w:val="nil"/>
              <w:bottom w:val="nil"/>
              <w:right w:val="nil"/>
            </w:tcBorders>
            <w:vAlign w:val="center"/>
          </w:tcPr>
          <w:p w14:paraId="1F1AF7EF">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3042" w:type="dxa"/>
            <w:tcBorders>
              <w:top w:val="nil"/>
              <w:left w:val="nil"/>
              <w:bottom w:val="nil"/>
              <w:right w:val="nil"/>
            </w:tcBorders>
            <w:vAlign w:val="center"/>
          </w:tcPr>
          <w:p w14:paraId="66982A5A">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2793-1995</w:t>
            </w:r>
          </w:p>
        </w:tc>
      </w:tr>
      <w:tr w14:paraId="62E2F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672" w:type="dxa"/>
            <w:tcBorders>
              <w:top w:val="nil"/>
              <w:left w:val="nil"/>
              <w:bottom w:val="nil"/>
              <w:right w:val="nil"/>
            </w:tcBorders>
            <w:vAlign w:val="center"/>
          </w:tcPr>
          <w:p w14:paraId="083EA5C6">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Viscosity</w:t>
            </w:r>
          </w:p>
        </w:tc>
        <w:tc>
          <w:tcPr>
            <w:tcW w:w="2466" w:type="dxa"/>
            <w:tcBorders>
              <w:top w:val="nil"/>
              <w:left w:val="nil"/>
              <w:bottom w:val="nil"/>
              <w:right w:val="nil"/>
            </w:tcBorders>
            <w:vAlign w:val="center"/>
          </w:tcPr>
          <w:p w14:paraId="27241C06">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＜100.0</w:t>
            </w:r>
          </w:p>
        </w:tc>
        <w:tc>
          <w:tcPr>
            <w:tcW w:w="1548" w:type="dxa"/>
            <w:tcBorders>
              <w:top w:val="nil"/>
              <w:left w:val="nil"/>
              <w:bottom w:val="nil"/>
              <w:right w:val="nil"/>
            </w:tcBorders>
            <w:vAlign w:val="center"/>
          </w:tcPr>
          <w:p w14:paraId="4B750BFA">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mPa·s</w:t>
            </w:r>
          </w:p>
        </w:tc>
        <w:tc>
          <w:tcPr>
            <w:tcW w:w="3042" w:type="dxa"/>
            <w:tcBorders>
              <w:top w:val="nil"/>
              <w:left w:val="nil"/>
              <w:bottom w:val="nil"/>
              <w:right w:val="nil"/>
            </w:tcBorders>
            <w:vAlign w:val="center"/>
          </w:tcPr>
          <w:p w14:paraId="4C47C4CE">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10247-1998</w:t>
            </w:r>
          </w:p>
        </w:tc>
      </w:tr>
      <w:tr w14:paraId="2E138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672" w:type="dxa"/>
            <w:tcBorders>
              <w:top w:val="nil"/>
              <w:left w:val="nil"/>
              <w:bottom w:val="nil"/>
              <w:right w:val="nil"/>
            </w:tcBorders>
            <w:vAlign w:val="center"/>
          </w:tcPr>
          <w:p w14:paraId="585DCC44">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pH</w:t>
            </w:r>
          </w:p>
        </w:tc>
        <w:tc>
          <w:tcPr>
            <w:tcW w:w="2466" w:type="dxa"/>
            <w:tcBorders>
              <w:top w:val="nil"/>
              <w:left w:val="nil"/>
              <w:bottom w:val="nil"/>
              <w:right w:val="nil"/>
            </w:tcBorders>
            <w:vAlign w:val="center"/>
          </w:tcPr>
          <w:p w14:paraId="45D275CB">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4.0–6.0</w:t>
            </w:r>
          </w:p>
        </w:tc>
        <w:tc>
          <w:tcPr>
            <w:tcW w:w="1548" w:type="dxa"/>
            <w:tcBorders>
              <w:top w:val="nil"/>
              <w:left w:val="nil"/>
              <w:bottom w:val="nil"/>
              <w:right w:val="nil"/>
            </w:tcBorders>
            <w:vAlign w:val="center"/>
          </w:tcPr>
          <w:p w14:paraId="20C9F602">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3042" w:type="dxa"/>
            <w:tcBorders>
              <w:top w:val="nil"/>
              <w:left w:val="nil"/>
              <w:bottom w:val="nil"/>
              <w:right w:val="nil"/>
            </w:tcBorders>
            <w:vAlign w:val="center"/>
          </w:tcPr>
          <w:p w14:paraId="52B41E3B">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14518-1993</w:t>
            </w:r>
          </w:p>
        </w:tc>
      </w:tr>
      <w:tr w14:paraId="59E85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672" w:type="dxa"/>
            <w:tcBorders>
              <w:top w:val="nil"/>
              <w:left w:val="nil"/>
              <w:bottom w:val="nil"/>
              <w:right w:val="nil"/>
            </w:tcBorders>
            <w:vAlign w:val="center"/>
          </w:tcPr>
          <w:p w14:paraId="12D55445">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100% Modulus</w:t>
            </w:r>
          </w:p>
        </w:tc>
        <w:tc>
          <w:tcPr>
            <w:tcW w:w="2466" w:type="dxa"/>
            <w:tcBorders>
              <w:top w:val="nil"/>
              <w:left w:val="nil"/>
              <w:bottom w:val="nil"/>
              <w:right w:val="nil"/>
            </w:tcBorders>
            <w:vAlign w:val="center"/>
          </w:tcPr>
          <w:p w14:paraId="6D997834">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5.0–6.0</w:t>
            </w:r>
          </w:p>
        </w:tc>
        <w:tc>
          <w:tcPr>
            <w:tcW w:w="1548" w:type="dxa"/>
            <w:tcBorders>
              <w:top w:val="nil"/>
              <w:left w:val="nil"/>
              <w:bottom w:val="nil"/>
              <w:right w:val="nil"/>
            </w:tcBorders>
            <w:vAlign w:val="center"/>
          </w:tcPr>
          <w:p w14:paraId="531E6994">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3042" w:type="dxa"/>
            <w:tcBorders>
              <w:top w:val="nil"/>
              <w:left w:val="nil"/>
              <w:bottom w:val="nil"/>
              <w:right w:val="nil"/>
            </w:tcBorders>
            <w:vAlign w:val="center"/>
          </w:tcPr>
          <w:p w14:paraId="2A2057D9">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51170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672" w:type="dxa"/>
            <w:tcBorders>
              <w:top w:val="nil"/>
              <w:left w:val="nil"/>
              <w:right w:val="nil"/>
            </w:tcBorders>
            <w:vAlign w:val="center"/>
          </w:tcPr>
          <w:p w14:paraId="428AB68E">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Tensile Strength</w:t>
            </w:r>
          </w:p>
        </w:tc>
        <w:tc>
          <w:tcPr>
            <w:tcW w:w="2466" w:type="dxa"/>
            <w:tcBorders>
              <w:top w:val="nil"/>
              <w:left w:val="nil"/>
              <w:right w:val="nil"/>
            </w:tcBorders>
            <w:vAlign w:val="center"/>
          </w:tcPr>
          <w:p w14:paraId="7F61EEBA">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17.0–19.0</w:t>
            </w:r>
          </w:p>
        </w:tc>
        <w:tc>
          <w:tcPr>
            <w:tcW w:w="1548" w:type="dxa"/>
            <w:tcBorders>
              <w:top w:val="nil"/>
              <w:left w:val="nil"/>
              <w:right w:val="nil"/>
            </w:tcBorders>
            <w:vAlign w:val="center"/>
          </w:tcPr>
          <w:p w14:paraId="30F9C227">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3042" w:type="dxa"/>
            <w:tcBorders>
              <w:top w:val="nil"/>
              <w:left w:val="nil"/>
              <w:right w:val="nil"/>
            </w:tcBorders>
            <w:vAlign w:val="center"/>
          </w:tcPr>
          <w:p w14:paraId="6C9A946C">
            <w:pPr>
              <w:keepNext w:val="0"/>
              <w:keepLines w:val="0"/>
              <w:pageBreakBefore w:val="0"/>
              <w:widowControl/>
              <w:suppressLineNumbers w:val="0"/>
              <w:kinsoku/>
              <w:wordWrap/>
              <w:overflowPunct/>
              <w:topLinePunct w:val="0"/>
              <w:bidi w:val="0"/>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bl>
    <w:p w14:paraId="0424B8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00" w:lineRule="exact"/>
        <w:ind w:left="0" w:right="0" w:firstLine="480" w:firstLineChars="200"/>
        <w:jc w:val="left"/>
        <w:textAlignment w:val="auto"/>
        <w:rPr>
          <w:rFonts w:hint="default" w:ascii="Arial" w:hAnsi="Arial" w:cs="Arial"/>
          <w:color w:val="000000"/>
          <w:sz w:val="24"/>
          <w:szCs w:val="24"/>
        </w:rPr>
      </w:pPr>
      <w:bookmarkStart w:id="0" w:name="_GoBack"/>
      <w:bookmarkEnd w:id="0"/>
      <w:r>
        <w:rPr>
          <w:rFonts w:hint="default" w:ascii="Arial" w:hAnsi="Arial" w:eastAsia="宋体" w:cs="Arial"/>
          <w:color w:val="000000"/>
          <w:kern w:val="0"/>
          <w:sz w:val="24"/>
          <w:szCs w:val="24"/>
          <w:bdr w:val="none" w:color="auto" w:sz="0" w:space="0"/>
          <w:lang w:val="en-US" w:eastAsia="zh-CN" w:bidi="ar"/>
        </w:rPr>
        <w:t>*These parameters represent typical results only and shall not be deemed as specifications. Subject to the actual Certificate of Analysis (COA).</w:t>
      </w:r>
    </w:p>
    <w:p w14:paraId="1AECC0D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360" w:lineRule="auto"/>
        <w:ind w:left="0" w:right="0"/>
        <w:jc w:val="left"/>
        <w:textAlignment w:val="auto"/>
        <w:rPr>
          <w:rFonts w:hint="default" w:ascii="Arial" w:hAnsi="Arial" w:cs="Arial"/>
          <w:color w:val="000000"/>
          <w:sz w:val="28"/>
          <w:szCs w:val="28"/>
        </w:rPr>
      </w:pPr>
      <w:r>
        <w:rPr>
          <w:rFonts w:hint="default" w:ascii="Arial" w:hAnsi="Arial" w:cs="Arial"/>
          <w:color w:val="000000"/>
          <w:sz w:val="28"/>
          <w:szCs w:val="28"/>
        </w:rPr>
        <w:t>Storage</w:t>
      </w:r>
    </w:p>
    <w:p w14:paraId="2F9001C6">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00" w:lineRule="exac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Store in t</w:t>
      </w:r>
      <w:r>
        <w:rPr>
          <w:rFonts w:hint="default" w:ascii="Arial" w:hAnsi="Arial" w:cs="Arial"/>
          <w:color w:val="000000"/>
          <w:sz w:val="24"/>
          <w:szCs w:val="24"/>
        </w:rPr>
        <w:t>he original sealed container.</w:t>
      </w:r>
    </w:p>
    <w:p w14:paraId="728B584D">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00" w:lineRule="exac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Recommended storage temperature: 6–28 °C.</w:t>
      </w:r>
    </w:p>
    <w:p w14:paraId="1D48D481">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00" w:lineRule="exac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Use within 6 months from the production date.</w:t>
      </w:r>
    </w:p>
    <w:p w14:paraId="3D81A4D8">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00" w:lineRule="exac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 xml:space="preserve">Avoid direct sunlight </w:t>
      </w:r>
      <w:r>
        <w:rPr>
          <w:rFonts w:hint="default" w:ascii="Arial" w:hAnsi="Arial" w:cs="Arial"/>
          <w:color w:val="000000"/>
          <w:sz w:val="24"/>
          <w:szCs w:val="24"/>
          <w:bdr w:val="none" w:color="auto" w:sz="0" w:space="0"/>
        </w:rPr>
        <w:t>and contamination by other substances.</w:t>
      </w:r>
    </w:p>
    <w:p w14:paraId="400EE834">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default" w:ascii="Arial" w:hAnsi="Arial" w:eastAsia="微软雅黑" w:cs="Arial"/>
          <w:sz w:val="24"/>
          <w:szCs w:val="24"/>
        </w:rPr>
      </w:pPr>
    </w:p>
    <w:tbl>
      <w:tblPr>
        <w:tblStyle w:val="7"/>
        <w:tblpPr w:leftFromText="180" w:rightFromText="180" w:vertAnchor="text" w:horzAnchor="page" w:tblpX="1440" w:tblpY="1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6"/>
      </w:tblGrid>
      <w:tr w14:paraId="3817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6" w:type="dxa"/>
            <w:tcBorders>
              <w:left w:val="nil"/>
              <w:right w:val="nil"/>
            </w:tcBorders>
          </w:tcPr>
          <w:p w14:paraId="1C17359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Arial" w:hAnsi="Arial" w:eastAsia="微软雅黑" w:cs="Arial"/>
                <w:sz w:val="24"/>
                <w:szCs w:val="24"/>
              </w:rPr>
            </w:pPr>
            <w:r>
              <w:rPr>
                <w:rFonts w:hint="default" w:ascii="Arial" w:hAnsi="Arial" w:eastAsia="宋体" w:cs="Arial"/>
                <w:sz w:val="24"/>
                <w:szCs w:val="24"/>
              </w:rPr>
              <w:t>Prolonged storage at low temperature may cause irreversible damage to the product. Keep the container tightly sealed; otherwise, water evaporation will form an insoluble polymer film on the product surface. Expiry of the 6</w:t>
            </w:r>
            <w:r>
              <w:rPr>
                <w:rFonts w:hint="default" w:ascii="Arial" w:hAnsi="Arial" w:eastAsia="宋体" w:cs="Arial"/>
                <w:sz w:val="24"/>
                <w:szCs w:val="24"/>
              </w:rPr>
              <w:noBreakHyphen/>
            </w:r>
            <w:r>
              <w:rPr>
                <w:rFonts w:hint="default" w:ascii="Arial" w:hAnsi="Arial" w:eastAsia="宋体" w:cs="Arial"/>
                <w:sz w:val="24"/>
                <w:szCs w:val="24"/>
              </w:rPr>
              <w:t>month shelf life does not necessarily mean the product is out of specification. Please test before application to verify its compliance.</w:t>
            </w:r>
          </w:p>
        </w:tc>
      </w:tr>
    </w:tbl>
    <w:p w14:paraId="339583F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Arial" w:hAnsi="Arial" w:eastAsia="微软雅黑" w:cs="Arial"/>
          <w:sz w:val="24"/>
          <w:szCs w:val="24"/>
        </w:rPr>
      </w:pPr>
    </w:p>
    <w:p w14:paraId="5D2C825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360" w:lineRule="auto"/>
        <w:ind w:left="0" w:right="0"/>
        <w:jc w:val="left"/>
        <w:textAlignment w:val="auto"/>
        <w:rPr>
          <w:rFonts w:hint="default" w:ascii="Arial" w:hAnsi="Arial" w:cs="Arial"/>
          <w:color w:val="000000"/>
          <w:sz w:val="28"/>
          <w:szCs w:val="28"/>
        </w:rPr>
      </w:pPr>
      <w:r>
        <w:rPr>
          <w:rFonts w:hint="default" w:ascii="Arial" w:hAnsi="Arial" w:cs="Arial"/>
          <w:color w:val="000000"/>
          <w:sz w:val="28"/>
          <w:szCs w:val="28"/>
        </w:rPr>
        <w:t>Precautions</w:t>
      </w:r>
    </w:p>
    <w:p w14:paraId="0AFBFE45">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00" w:lineRule="exac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Adding a curing agen</w:t>
      </w:r>
      <w:r>
        <w:rPr>
          <w:rFonts w:hint="default" w:ascii="Arial" w:hAnsi="Arial" w:cs="Arial"/>
          <w:color w:val="000000"/>
          <w:sz w:val="24"/>
          <w:szCs w:val="24"/>
        </w:rPr>
        <w:t>t can improve fastness but may affect hand feel.</w:t>
      </w:r>
    </w:p>
    <w:p w14:paraId="01B9083F">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00" w:lineRule="exac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Waterborne resin with crosslinking agent must be used within 24 hours.</w:t>
      </w:r>
    </w:p>
    <w:p w14:paraId="5AE8197E">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400" w:lineRule="exac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This product is a cationic resin and shall not be mixed with other anionic resins or additives. Polyurethane thic</w:t>
      </w:r>
      <w:r>
        <w:rPr>
          <w:rFonts w:hint="default" w:ascii="Arial" w:hAnsi="Arial" w:cs="Arial"/>
          <w:color w:val="000000"/>
          <w:sz w:val="24"/>
          <w:szCs w:val="24"/>
          <w:bdr w:val="none" w:color="auto" w:sz="0" w:space="0"/>
        </w:rPr>
        <w:t>keners of our company are recommended.</w:t>
      </w:r>
    </w:p>
    <w:p w14:paraId="57F1989E">
      <w:pPr>
        <w:keepNext w:val="0"/>
        <w:keepLines w:val="0"/>
        <w:pageBreakBefore w:val="0"/>
        <w:widowControl w:val="0"/>
        <w:tabs>
          <w:tab w:val="left" w:pos="720"/>
          <w:tab w:val="left" w:pos="1980"/>
        </w:tabs>
        <w:kinsoku/>
        <w:wordWrap/>
        <w:overflowPunct/>
        <w:topLinePunct w:val="0"/>
        <w:autoSpaceDE/>
        <w:autoSpaceDN/>
        <w:bidi w:val="0"/>
        <w:adjustRightInd/>
        <w:snapToGrid/>
        <w:spacing w:line="400" w:lineRule="exact"/>
        <w:ind w:firstLine="480" w:firstLineChars="200"/>
        <w:textAlignment w:val="auto"/>
        <w:rPr>
          <w:rFonts w:hint="default" w:ascii="Arial" w:hAnsi="Arial" w:eastAsia="微软雅黑" w:cs="Arial"/>
          <w:sz w:val="24"/>
          <w:szCs w:val="24"/>
        </w:rPr>
      </w:pPr>
    </w:p>
    <w:p w14:paraId="04C6F98A">
      <w:pPr>
        <w:keepNext w:val="0"/>
        <w:keepLines w:val="0"/>
        <w:pageBreakBefore w:val="0"/>
        <w:tabs>
          <w:tab w:val="left" w:pos="720"/>
          <w:tab w:val="left" w:pos="1980"/>
        </w:tabs>
        <w:kinsoku/>
        <w:wordWrap/>
        <w:overflowPunct/>
        <w:topLinePunct w:val="0"/>
        <w:bidi w:val="0"/>
        <w:snapToGrid/>
        <w:spacing w:line="400" w:lineRule="exact"/>
        <w:textAlignment w:val="auto"/>
        <w:rPr>
          <w:rFonts w:hint="default" w:ascii="Arial" w:hAnsi="Arial" w:eastAsia="微软雅黑" w:cs="Arial"/>
          <w:sz w:val="24"/>
          <w:szCs w:val="24"/>
        </w:rPr>
      </w:pPr>
    </w:p>
    <w:p w14:paraId="73542C68">
      <w:pPr>
        <w:keepNext w:val="0"/>
        <w:keepLines w:val="0"/>
        <w:pageBreakBefore w:val="0"/>
        <w:tabs>
          <w:tab w:val="left" w:pos="720"/>
          <w:tab w:val="left" w:pos="1980"/>
        </w:tabs>
        <w:kinsoku/>
        <w:wordWrap/>
        <w:overflowPunct/>
        <w:topLinePunct w:val="0"/>
        <w:bidi w:val="0"/>
        <w:snapToGrid/>
        <w:spacing w:line="400" w:lineRule="exact"/>
        <w:textAlignment w:val="auto"/>
        <w:rPr>
          <w:rFonts w:hint="default" w:ascii="Arial" w:hAnsi="Arial" w:eastAsia="微软雅黑" w:cs="Arial"/>
          <w:sz w:val="24"/>
          <w:szCs w:val="24"/>
        </w:rPr>
      </w:pPr>
    </w:p>
    <w:p w14:paraId="34FDCEEF">
      <w:pPr>
        <w:keepNext w:val="0"/>
        <w:keepLines w:val="0"/>
        <w:pageBreakBefore w:val="0"/>
        <w:tabs>
          <w:tab w:val="left" w:pos="720"/>
          <w:tab w:val="left" w:pos="1980"/>
        </w:tabs>
        <w:kinsoku/>
        <w:wordWrap/>
        <w:overflowPunct/>
        <w:topLinePunct w:val="0"/>
        <w:bidi w:val="0"/>
        <w:snapToGrid/>
        <w:spacing w:line="400" w:lineRule="exact"/>
        <w:textAlignment w:val="auto"/>
        <w:rPr>
          <w:rFonts w:hint="default" w:ascii="Arial" w:hAnsi="Arial" w:eastAsia="微软雅黑" w:cs="Arial"/>
          <w:sz w:val="24"/>
          <w:szCs w:val="24"/>
        </w:rPr>
      </w:pPr>
    </w:p>
    <w:p w14:paraId="7766C5B2">
      <w:pPr>
        <w:keepNext w:val="0"/>
        <w:keepLines w:val="0"/>
        <w:pageBreakBefore w:val="0"/>
        <w:tabs>
          <w:tab w:val="left" w:pos="720"/>
          <w:tab w:val="left" w:pos="1980"/>
        </w:tabs>
        <w:kinsoku/>
        <w:wordWrap/>
        <w:overflowPunct/>
        <w:topLinePunct w:val="0"/>
        <w:bidi w:val="0"/>
        <w:snapToGrid/>
        <w:spacing w:line="400" w:lineRule="exact"/>
        <w:textAlignment w:val="auto"/>
        <w:rPr>
          <w:rFonts w:hint="default" w:ascii="Arial" w:hAnsi="Arial" w:eastAsia="微软雅黑" w:cs="Arial"/>
          <w:sz w:val="24"/>
          <w:szCs w:val="24"/>
        </w:rPr>
      </w:pPr>
    </w:p>
    <w:p w14:paraId="66444DAF">
      <w:pPr>
        <w:keepNext w:val="0"/>
        <w:keepLines w:val="0"/>
        <w:pageBreakBefore w:val="0"/>
        <w:tabs>
          <w:tab w:val="left" w:pos="720"/>
          <w:tab w:val="left" w:pos="1980"/>
        </w:tabs>
        <w:kinsoku/>
        <w:wordWrap/>
        <w:overflowPunct/>
        <w:topLinePunct w:val="0"/>
        <w:bidi w:val="0"/>
        <w:snapToGrid/>
        <w:spacing w:line="400" w:lineRule="exact"/>
        <w:textAlignment w:val="auto"/>
        <w:rPr>
          <w:rFonts w:hint="default" w:ascii="Arial" w:hAnsi="Arial" w:eastAsia="微软雅黑" w:cs="Arial"/>
          <w:sz w:val="24"/>
          <w:szCs w:val="24"/>
        </w:rPr>
      </w:pPr>
    </w:p>
    <w:p w14:paraId="1C6B0EFB">
      <w:pPr>
        <w:keepNext w:val="0"/>
        <w:keepLines w:val="0"/>
        <w:pageBreakBefore w:val="0"/>
        <w:tabs>
          <w:tab w:val="left" w:pos="720"/>
          <w:tab w:val="left" w:pos="1980"/>
        </w:tabs>
        <w:kinsoku/>
        <w:wordWrap/>
        <w:overflowPunct/>
        <w:topLinePunct w:val="0"/>
        <w:bidi w:val="0"/>
        <w:snapToGrid/>
        <w:spacing w:line="400" w:lineRule="exact"/>
        <w:textAlignment w:val="auto"/>
        <w:rPr>
          <w:rFonts w:hint="default" w:ascii="Arial" w:hAnsi="Arial" w:eastAsia="微软雅黑" w:cs="Arial"/>
          <w:sz w:val="24"/>
          <w:szCs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2"/>
      </w:tblGrid>
      <w:tr w14:paraId="35B1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2" w:type="dxa"/>
            <w:tcBorders>
              <w:left w:val="nil"/>
              <w:bottom w:val="nil"/>
              <w:right w:val="nil"/>
            </w:tcBorders>
          </w:tcPr>
          <w:p w14:paraId="28468D93">
            <w:pPr>
              <w:keepNext w:val="0"/>
              <w:keepLines w:val="0"/>
              <w:pageBreakBefore w:val="0"/>
              <w:kinsoku/>
              <w:wordWrap/>
              <w:overflowPunct/>
              <w:topLinePunct w:val="0"/>
              <w:bidi w:val="0"/>
              <w:snapToGrid/>
              <w:spacing w:line="400" w:lineRule="exact"/>
              <w:ind w:firstLine="480" w:firstLineChars="200"/>
              <w:textAlignment w:val="auto"/>
              <w:rPr>
                <w:rFonts w:hint="default" w:ascii="Arial" w:hAnsi="Arial" w:eastAsia="微软雅黑" w:cs="Arial"/>
                <w:b/>
                <w:bCs/>
                <w:sz w:val="24"/>
                <w:szCs w:val="24"/>
              </w:rPr>
            </w:pPr>
            <w:r>
              <w:rPr>
                <w:rFonts w:hint="default" w:ascii="Arial" w:hAnsi="Arial" w:eastAsia="宋体" w:cs="Arial"/>
                <w:sz w:val="24"/>
                <w:szCs w:val="24"/>
              </w:rPr>
              <w:t>The above information reflects our internal quality evaluation results from laboratory testing. It is not a guarantee of product performance or suitability for specific applications. Please conduct necessary tests before application. Thank you for your choice and support!</w:t>
            </w:r>
          </w:p>
        </w:tc>
      </w:tr>
    </w:tbl>
    <w:p w14:paraId="516C1530">
      <w:pPr>
        <w:pStyle w:val="9"/>
        <w:keepNext w:val="0"/>
        <w:keepLines w:val="0"/>
        <w:pageBreakBefore w:val="0"/>
        <w:kinsoku/>
        <w:wordWrap/>
        <w:overflowPunct/>
        <w:topLinePunct w:val="0"/>
        <w:bidi w:val="0"/>
        <w:snapToGrid/>
        <w:spacing w:line="400" w:lineRule="exact"/>
        <w:textAlignment w:val="auto"/>
        <w:rPr>
          <w:rFonts w:hint="default" w:ascii="Arial" w:hAnsi="Arial" w:eastAsia="微软雅黑" w:cs="Arial"/>
          <w:b/>
          <w:bCs/>
          <w:sz w:val="24"/>
          <w:szCs w:val="24"/>
        </w:rPr>
      </w:pPr>
    </w:p>
    <w:sectPr>
      <w:headerReference r:id="rId3" w:type="default"/>
      <w:footerReference r:id="rId4" w:type="default"/>
      <w:type w:val="continuous"/>
      <w:pgSz w:w="11906" w:h="16838"/>
      <w:pgMar w:top="850" w:right="1417" w:bottom="850" w:left="1417" w:header="851" w:footer="737"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Segoe UI Emoji">
    <w:panose1 w:val="020B0502040204020203"/>
    <w:charset w:val="00"/>
    <w:family w:val="auto"/>
    <w:pitch w:val="default"/>
    <w:sig w:usb0="00000001"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5454">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1312" behindDoc="0" locked="0" layoutInCell="1" allowOverlap="1">
              <wp:simplePos x="0" y="0"/>
              <wp:positionH relativeFrom="margin">
                <wp:posOffset>2455545</wp:posOffset>
              </wp:positionH>
              <wp:positionV relativeFrom="paragraph">
                <wp:posOffset>70485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5.55pt;height:144pt;width:144pt;mso-position-horizontal-relative:margin;mso-wrap-style:none;z-index:251661312;mso-width-relative:page;mso-height-relative:page;" filled="f" stroked="f" coordsize="21600,21600" o:gfxdata="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H5JNfTXAAAACgEAAA8AAAAAAAAAAQAgAAAAIgAAAGRycy9kb3ducmV2LnhtbFBLAQIUABQA&#10;AAAIAIdO4kDK3dcMKgIAAFcEAAAOAAAAAAAAAAEAIAAAACYBAABkcnMvZTJvRG9jLnhtbFBLBQYA&#10;AAAABgAGAFkBAADCBQAAAAA=&#10;">
              <v:fill on="f" focussize="0,0"/>
              <v:stroke on="f" weight="0.5pt"/>
              <v:imagedata o:title=""/>
              <o:lock v:ext="edit" aspectratio="f"/>
              <v:textbox inset="0mm,0mm,0mm,0mm" style="mso-fit-shape-to-text:t;">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5CF34">
    <w:pPr>
      <w:pStyle w:val="5"/>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column">
                <wp:posOffset>4264660</wp:posOffset>
              </wp:positionH>
              <wp:positionV relativeFrom="paragraph">
                <wp:posOffset>-17145</wp:posOffset>
              </wp:positionV>
              <wp:extent cx="159702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CN-301Y</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5.8pt;margin-top:-1.35pt;height:48.75pt;width:125.75pt;z-index:251659264;mso-width-relative:page;mso-height-relative:page;" filled="f" stroked="f" coordsize="21600,21600" o:gfxdata="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&#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Novh67bAAAACQEAAA8AAAAAAAAAAQAgAAAAIgAAAGRy&#10;cy9kb3ducmV2LnhtbFBLAQIUABQAAAAIAIdO4kBIqARrOwIAAGYEAAAOAAAAAAAAAAEAIAAAACoB&#10;AABkcnMvZTJvRG9jLnhtbFBLBQYAAAAABgAGAFkBAADXBQAAAAA=&#10;">
              <v:fill on="f" focussize="0,0"/>
              <v:stroke on="f" weight="0.5pt"/>
              <v:imagedata o:title=""/>
              <o:lock v:ext="edit" aspectratio="f"/>
              <v:textbo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CN-301Y</w:t>
                    </w:r>
                  </w:p>
                </w:txbxContent>
              </v:textbox>
            </v:shape>
          </w:pict>
        </mc:Fallback>
      </mc:AlternateContent>
    </w:r>
    <w:r>
      <w:rPr>
        <w:sz w:val="10"/>
      </w:rPr>
      <mc:AlternateContent>
        <mc:Choice Requires="wps">
          <w:drawing>
            <wp:anchor distT="0" distB="0" distL="114300" distR="114300" simplePos="0" relativeHeight="251660288" behindDoc="0" locked="0" layoutInCell="1" allowOverlap="1">
              <wp:simplePos x="0" y="0"/>
              <wp:positionH relativeFrom="column">
                <wp:posOffset>3568065</wp:posOffset>
              </wp:positionH>
              <wp:positionV relativeFrom="paragraph">
                <wp:posOffset>398780</wp:posOffset>
              </wp:positionV>
              <wp:extent cx="1828800" cy="607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6070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0280E4">
                          <w:pPr>
                            <w:rPr>
                              <w:rFonts w:hint="eastAsia"/>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0.95pt;margin-top:31.4pt;height:47.8pt;width:144pt;mso-wrap-style:none;z-index:251660288;mso-width-relative:page;mso-height-relative:page;" filled="f" stroked="f" coordsize="21600,21600" o:gfxdata="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dwIkK2wAAAAoBAAAPAAAAAAAAAAEAIAAAACIAAABkcnMv&#10;ZG93bnJldi54bWxQSwECFAAUAAAACACHTuJAVkQEPzkCAABkBAAADgAAAAAAAAABACAAAAAqAQAA&#10;ZHJzL2Uyb0RvYy54bWxQSwUGAAAAAAYABgBZAQAA1QUAAAAA&#10;">
              <v:fill on="f" focussize="0,0"/>
              <v:stroke on="f" weight="0.5pt"/>
              <v:imagedata o:title=""/>
              <o:lock v:ext="edit" aspectratio="f"/>
              <v:textbox>
                <w:txbxContent>
                  <w:p w14:paraId="450280E4">
                    <w:pPr>
                      <w:rPr>
                        <w:rFonts w:hint="eastAsia"/>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v:textbox>
            </v:shape>
          </w:pict>
        </mc:Fallback>
      </mc:AlternateContent>
    </w:r>
    <w:r>
      <w:rPr>
        <w:sz w:val="10"/>
        <w:szCs w:val="10"/>
      </w:rPr>
      <w:drawing>
        <wp:inline distT="0" distB="0" distL="0" distR="0">
          <wp:extent cx="773430" cy="877570"/>
          <wp:effectExtent l="0" t="0" r="7620" b="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2929E01E">
    <w:pPr>
      <w:pStyle w:val="5"/>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57096F"/>
    <w:multiLevelType w:val="singleLevel"/>
    <w:tmpl w:val="3E57096F"/>
    <w:lvl w:ilvl="0" w:tentative="0">
      <w:start w:val="1"/>
      <w:numFmt w:val="decimal"/>
      <w:lvlText w:val="%1."/>
      <w:lvlJc w:val="left"/>
      <w:pPr>
        <w:ind w:left="425" w:hanging="425"/>
      </w:pPr>
      <w:rPr>
        <w:rFonts w:hint="default"/>
      </w:rPr>
    </w:lvl>
  </w:abstractNum>
  <w:abstractNum w:abstractNumId="1">
    <w:nsid w:val="5BBEA021"/>
    <w:multiLevelType w:val="singleLevel"/>
    <w:tmpl w:val="5BBEA021"/>
    <w:lvl w:ilvl="0" w:tentative="0">
      <w:start w:val="1"/>
      <w:numFmt w:val="decimal"/>
      <w:lvlText w:val="%1."/>
      <w:lvlJc w:val="left"/>
      <w:pPr>
        <w:ind w:left="425" w:hanging="425"/>
      </w:pPr>
      <w:rPr>
        <w:rFonts w:hint="default"/>
      </w:rPr>
    </w:lvl>
  </w:abstractNum>
  <w:abstractNum w:abstractNumId="2">
    <w:nsid w:val="6E47EEC6"/>
    <w:multiLevelType w:val="singleLevel"/>
    <w:tmpl w:val="6E47EEC6"/>
    <w:lvl w:ilvl="0" w:tentative="0">
      <w:start w:val="1"/>
      <w:numFmt w:val="decimal"/>
      <w:lvlText w:val="%1."/>
      <w:lvlJc w:val="left"/>
      <w:pPr>
        <w:ind w:left="425" w:hanging="425"/>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kMmFjNTIzYTc2MzM4YzI5MjhhZjFlYzFlYTkyNWUifQ=="/>
    <w:docVar w:name="KSO_WPS_MARK_KEY" w:val="9e5ed2ef-df1b-49b7-8e7e-1ada10df08c8"/>
  </w:docVars>
  <w:rsids>
    <w:rsidRoot w:val="00912B14"/>
    <w:rsid w:val="0004443A"/>
    <w:rsid w:val="000966E8"/>
    <w:rsid w:val="000A1C8F"/>
    <w:rsid w:val="00136635"/>
    <w:rsid w:val="00156019"/>
    <w:rsid w:val="00200121"/>
    <w:rsid w:val="00264EA8"/>
    <w:rsid w:val="00296707"/>
    <w:rsid w:val="002F6D5B"/>
    <w:rsid w:val="003550AC"/>
    <w:rsid w:val="00380CED"/>
    <w:rsid w:val="003B16AF"/>
    <w:rsid w:val="00422D12"/>
    <w:rsid w:val="00455912"/>
    <w:rsid w:val="00505831"/>
    <w:rsid w:val="00527365"/>
    <w:rsid w:val="00596990"/>
    <w:rsid w:val="00597F7A"/>
    <w:rsid w:val="005D2EFD"/>
    <w:rsid w:val="007A165C"/>
    <w:rsid w:val="00831E5E"/>
    <w:rsid w:val="00867CB0"/>
    <w:rsid w:val="00912B14"/>
    <w:rsid w:val="0097112D"/>
    <w:rsid w:val="00B829A2"/>
    <w:rsid w:val="00BF5852"/>
    <w:rsid w:val="00CB1423"/>
    <w:rsid w:val="00CE110F"/>
    <w:rsid w:val="00D33741"/>
    <w:rsid w:val="00D55D1D"/>
    <w:rsid w:val="00D62AD4"/>
    <w:rsid w:val="00E6160F"/>
    <w:rsid w:val="00E64056"/>
    <w:rsid w:val="00EB567E"/>
    <w:rsid w:val="00F02A8D"/>
    <w:rsid w:val="00F161DD"/>
    <w:rsid w:val="00F253D2"/>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8F359E4"/>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046BE"/>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BD4867"/>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815D52"/>
    <w:rsid w:val="31F1602E"/>
    <w:rsid w:val="329A50BF"/>
    <w:rsid w:val="32B617CD"/>
    <w:rsid w:val="33075F48"/>
    <w:rsid w:val="3424477C"/>
    <w:rsid w:val="34B166F0"/>
    <w:rsid w:val="34C65B5C"/>
    <w:rsid w:val="34CF6B76"/>
    <w:rsid w:val="353821E0"/>
    <w:rsid w:val="3538471B"/>
    <w:rsid w:val="358F0212"/>
    <w:rsid w:val="362F0630"/>
    <w:rsid w:val="366B0946"/>
    <w:rsid w:val="366E5B00"/>
    <w:rsid w:val="36F945CC"/>
    <w:rsid w:val="377356FF"/>
    <w:rsid w:val="37B02520"/>
    <w:rsid w:val="37B5307D"/>
    <w:rsid w:val="37CA4590"/>
    <w:rsid w:val="38347025"/>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EE53EA6"/>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0E21CB3"/>
    <w:rsid w:val="512377DF"/>
    <w:rsid w:val="5160707C"/>
    <w:rsid w:val="51F326E1"/>
    <w:rsid w:val="53625877"/>
    <w:rsid w:val="53F266B1"/>
    <w:rsid w:val="53FB3634"/>
    <w:rsid w:val="53FF5197"/>
    <w:rsid w:val="543A3BB4"/>
    <w:rsid w:val="54781E35"/>
    <w:rsid w:val="550B73D9"/>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8B088A"/>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Default"/>
    <w:qFormat/>
    <w:uiPriority w:val="0"/>
    <w:pPr>
      <w:widowControl w:val="0"/>
      <w:autoSpaceDE w:val="0"/>
      <w:autoSpaceDN w:val="0"/>
      <w:adjustRightInd w:val="0"/>
    </w:pPr>
    <w:rPr>
      <w:rFonts w:ascii="华文宋体" w:hAnsi="Times New Roman" w:eastAsia="华文宋体" w:cs="华文宋体"/>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664</Words>
  <Characters>798</Characters>
  <Lines>6</Lines>
  <Paragraphs>1</Paragraphs>
  <TotalTime>0</TotalTime>
  <ScaleCrop>false</ScaleCrop>
  <LinksUpToDate>false</LinksUpToDate>
  <CharactersWithSpaces>814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2024-08-03T06:19:00Z</dcterms:created>
  <dc:creator>Davis</dc:creator>
  <cp:lastModifiedBy>戴眼镜的麻杆。</cp:lastModifiedBy>
  <cp:lastPrinted>2024-06-20T10:29:00Z</cp:lastPrinted>
  <dcterms:modified xsi:type="dcterms:W3CDTF">2026-04-10T06:04:00Z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FFD256281C5E4E65A9FD9885607D796A_13</vt:lpwstr>
  </property>
  <property fmtid="{D5CDD505-2E9C-101B-9397-08002B2CF9AE}" pid="4" name="KSOTemplateDocerSaveRecord">
    <vt:lpwstr>eyJoZGlkIjoiN2FkMmFjNTIzYTc2MzM4YzI5MjhhZjFlYzFlYTkyNWUiLCJ1c2VySWQiOiIxMTk5MzAzNjYzIn0=</vt:lpwstr>
  </property>
</Properties>
</file>