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C9E4D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bdr w:val="none" w:color="auto" w:sz="0" w:space="0"/>
        </w:rPr>
        <w:t>Product Technical Specification</w:t>
      </w:r>
    </w:p>
    <w:p w14:paraId="7AA64DC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Introduction</w:t>
      </w:r>
    </w:p>
    <w:p w14:paraId="047997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CN-801 is an anionic waterborne polyurethane resin. It is a waterborne polyurethane emulsion featuring high hardness, excellent wear resistance, wash resistance, high gloss, and strong adhesion. With high film-forming hardness and high strength, it is a high-performance emulsion specially designed for formulating one-component waterborne coatings for wood, metal, plastic, nail polish, and glass.</w:t>
      </w:r>
    </w:p>
    <w:p w14:paraId="75C6399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bdr w:val="none" w:color="auto" w:sz="0" w:space="0"/>
        </w:rPr>
      </w:pPr>
    </w:p>
    <w:p w14:paraId="2EA2AA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Features</w:t>
      </w:r>
    </w:p>
    <w:p w14:paraId="0D0FA41E">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Small and uniformly distributed emulsion particle size, strong adsorption to substrates, high crosslink density, and excellent resistance.</w:t>
      </w:r>
    </w:p>
    <w:p w14:paraId="7EF5DB0B">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Goo</w:t>
      </w:r>
      <w:r>
        <w:rPr>
          <w:rFonts w:hint="default" w:ascii="Arial" w:hAnsi="Arial" w:cs="Arial"/>
          <w:color w:val="000000"/>
          <w:sz w:val="24"/>
          <w:szCs w:val="24"/>
        </w:rPr>
        <w:t>d leveling and rheological properties, high transparency, and high gloss.</w:t>
      </w:r>
    </w:p>
    <w:p w14:paraId="27569E70">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Full film formation, hard film, pencil hardness 1–2H.</w:t>
      </w:r>
    </w:p>
    <w:p w14:paraId="3176E0D0">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Suitable</w:t>
      </w:r>
      <w:r>
        <w:rPr>
          <w:rFonts w:hint="default" w:ascii="Arial" w:hAnsi="Arial" w:cs="Arial"/>
          <w:color w:val="000000"/>
          <w:sz w:val="24"/>
          <w:szCs w:val="24"/>
          <w:bdr w:val="none" w:color="auto" w:sz="0" w:space="0"/>
        </w:rPr>
        <w:t xml:space="preserve"> for one-component waterborne wood, metal, plastic, and glass coatings.</w:t>
      </w:r>
    </w:p>
    <w:p w14:paraId="3918C3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bdr w:val="none" w:color="auto" w:sz="0" w:space="0"/>
        </w:rPr>
      </w:pPr>
    </w:p>
    <w:p w14:paraId="26D0646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bdr w:val="none" w:color="auto" w:sz="0" w:space="0"/>
        </w:rPr>
        <w:t>Product Technical Parameters*</w:t>
      </w:r>
    </w:p>
    <w:tbl>
      <w:tblPr>
        <w:tblStyle w:val="6"/>
        <w:tblpPr w:leftFromText="180" w:rightFromText="180" w:vertAnchor="text" w:horzAnchor="page" w:tblpX="1525" w:tblpY="84"/>
        <w:tblOverlap w:val="never"/>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3"/>
        <w:gridCol w:w="2957"/>
        <w:gridCol w:w="1183"/>
        <w:gridCol w:w="2455"/>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143" w:type="dxa"/>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Item</w:t>
            </w:r>
          </w:p>
        </w:tc>
        <w:tc>
          <w:tcPr>
            <w:tcW w:w="2957" w:type="dxa"/>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Parameter</w:t>
            </w:r>
          </w:p>
        </w:tc>
        <w:tc>
          <w:tcPr>
            <w:tcW w:w="1183" w:type="dxa"/>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Unit</w:t>
            </w:r>
          </w:p>
        </w:tc>
        <w:tc>
          <w:tcPr>
            <w:tcW w:w="2455" w:type="dxa"/>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left w:val="nil"/>
              <w:bottom w:val="nil"/>
              <w:right w:val="nil"/>
            </w:tcBorders>
            <w:vAlign w:val="center"/>
          </w:tcPr>
          <w:p w14:paraId="79D44095">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957" w:type="dxa"/>
            <w:tcBorders>
              <w:top w:val="single" w:color="auto" w:sz="4" w:space="0"/>
              <w:left w:val="nil"/>
              <w:bottom w:val="nil"/>
              <w:right w:val="nil"/>
            </w:tcBorders>
            <w:vAlign w:val="center"/>
          </w:tcPr>
          <w:p w14:paraId="5EBE8A70">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Clear / translucent liquid</w:t>
            </w:r>
          </w:p>
        </w:tc>
        <w:tc>
          <w:tcPr>
            <w:tcW w:w="1183" w:type="dxa"/>
            <w:tcBorders>
              <w:top w:val="single" w:color="auto" w:sz="4" w:space="0"/>
              <w:left w:val="nil"/>
              <w:bottom w:val="nil"/>
              <w:right w:val="nil"/>
            </w:tcBorders>
            <w:vAlign w:val="center"/>
          </w:tcPr>
          <w:p w14:paraId="4ED1E3B2">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55" w:type="dxa"/>
            <w:tcBorders>
              <w:top w:val="single" w:color="auto" w:sz="4" w:space="0"/>
              <w:left w:val="nil"/>
              <w:bottom w:val="nil"/>
              <w:right w:val="nil"/>
            </w:tcBorders>
            <w:vAlign w:val="center"/>
          </w:tcPr>
          <w:p w14:paraId="65190AEA">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top w:val="nil"/>
              <w:left w:val="nil"/>
              <w:bottom w:val="nil"/>
              <w:right w:val="nil"/>
            </w:tcBorders>
            <w:vAlign w:val="center"/>
          </w:tcPr>
          <w:p w14:paraId="6D16DE96">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957" w:type="dxa"/>
            <w:tcBorders>
              <w:top w:val="nil"/>
              <w:left w:val="nil"/>
              <w:bottom w:val="nil"/>
              <w:right w:val="nil"/>
            </w:tcBorders>
            <w:vAlign w:val="center"/>
          </w:tcPr>
          <w:p w14:paraId="21660B6B">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35.00±1.00</w:t>
            </w:r>
          </w:p>
        </w:tc>
        <w:tc>
          <w:tcPr>
            <w:tcW w:w="1183" w:type="dxa"/>
            <w:tcBorders>
              <w:top w:val="nil"/>
              <w:left w:val="nil"/>
              <w:bottom w:val="nil"/>
              <w:right w:val="nil"/>
            </w:tcBorders>
            <w:vAlign w:val="center"/>
          </w:tcPr>
          <w:p w14:paraId="62D0C323">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55" w:type="dxa"/>
            <w:tcBorders>
              <w:top w:val="nil"/>
              <w:left w:val="nil"/>
              <w:bottom w:val="nil"/>
              <w:right w:val="nil"/>
            </w:tcBorders>
            <w:vAlign w:val="center"/>
          </w:tcPr>
          <w:p w14:paraId="7DDB098D">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top w:val="nil"/>
              <w:left w:val="nil"/>
              <w:bottom w:val="nil"/>
              <w:right w:val="nil"/>
            </w:tcBorders>
            <w:vAlign w:val="center"/>
          </w:tcPr>
          <w:p w14:paraId="43FA0180">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w:t>
            </w:r>
          </w:p>
        </w:tc>
        <w:tc>
          <w:tcPr>
            <w:tcW w:w="2957" w:type="dxa"/>
            <w:tcBorders>
              <w:top w:val="nil"/>
              <w:left w:val="nil"/>
              <w:bottom w:val="nil"/>
              <w:right w:val="nil"/>
            </w:tcBorders>
            <w:vAlign w:val="center"/>
          </w:tcPr>
          <w:p w14:paraId="69186F9A">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100–150</w:t>
            </w:r>
          </w:p>
        </w:tc>
        <w:tc>
          <w:tcPr>
            <w:tcW w:w="1183" w:type="dxa"/>
            <w:tcBorders>
              <w:top w:val="nil"/>
              <w:left w:val="nil"/>
              <w:bottom w:val="nil"/>
              <w:right w:val="nil"/>
            </w:tcBorders>
            <w:vAlign w:val="center"/>
          </w:tcPr>
          <w:p w14:paraId="697E5A8F">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455" w:type="dxa"/>
            <w:tcBorders>
              <w:top w:val="nil"/>
              <w:left w:val="nil"/>
              <w:bottom w:val="nil"/>
              <w:right w:val="nil"/>
            </w:tcBorders>
            <w:vAlign w:val="center"/>
          </w:tcPr>
          <w:p w14:paraId="2F650434">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top w:val="nil"/>
              <w:left w:val="nil"/>
              <w:bottom w:val="nil"/>
              <w:right w:val="nil"/>
            </w:tcBorders>
            <w:vAlign w:val="center"/>
          </w:tcPr>
          <w:p w14:paraId="48784D47">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957" w:type="dxa"/>
            <w:tcBorders>
              <w:top w:val="nil"/>
              <w:left w:val="nil"/>
              <w:bottom w:val="nil"/>
              <w:right w:val="nil"/>
            </w:tcBorders>
            <w:vAlign w:val="center"/>
          </w:tcPr>
          <w:p w14:paraId="4A3978BB">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6.0–8.0</w:t>
            </w:r>
          </w:p>
        </w:tc>
        <w:tc>
          <w:tcPr>
            <w:tcW w:w="1183" w:type="dxa"/>
            <w:tcBorders>
              <w:top w:val="nil"/>
              <w:left w:val="nil"/>
              <w:bottom w:val="nil"/>
              <w:right w:val="nil"/>
            </w:tcBorders>
            <w:vAlign w:val="center"/>
          </w:tcPr>
          <w:p w14:paraId="19D972E8">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55" w:type="dxa"/>
            <w:tcBorders>
              <w:top w:val="nil"/>
              <w:left w:val="nil"/>
              <w:bottom w:val="nil"/>
              <w:right w:val="nil"/>
            </w:tcBorders>
            <w:vAlign w:val="center"/>
          </w:tcPr>
          <w:p w14:paraId="4619E102">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1EC5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top w:val="nil"/>
              <w:left w:val="nil"/>
              <w:bottom w:val="nil"/>
              <w:right w:val="nil"/>
            </w:tcBorders>
            <w:vAlign w:val="center"/>
          </w:tcPr>
          <w:p w14:paraId="66D0E549">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2957" w:type="dxa"/>
            <w:tcBorders>
              <w:top w:val="nil"/>
              <w:left w:val="nil"/>
              <w:bottom w:val="nil"/>
              <w:right w:val="nil"/>
            </w:tcBorders>
            <w:vAlign w:val="center"/>
          </w:tcPr>
          <w:p w14:paraId="76F9125C">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11–12</w:t>
            </w:r>
          </w:p>
        </w:tc>
        <w:tc>
          <w:tcPr>
            <w:tcW w:w="1183" w:type="dxa"/>
            <w:tcBorders>
              <w:top w:val="nil"/>
              <w:left w:val="nil"/>
              <w:bottom w:val="nil"/>
              <w:right w:val="nil"/>
            </w:tcBorders>
            <w:vAlign w:val="center"/>
          </w:tcPr>
          <w:p w14:paraId="4C424264">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455" w:type="dxa"/>
            <w:tcBorders>
              <w:top w:val="nil"/>
              <w:left w:val="nil"/>
              <w:bottom w:val="nil"/>
              <w:right w:val="nil"/>
            </w:tcBorders>
            <w:vAlign w:val="center"/>
          </w:tcPr>
          <w:p w14:paraId="24F9D09E">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143" w:type="dxa"/>
            <w:tcBorders>
              <w:top w:val="nil"/>
              <w:left w:val="nil"/>
              <w:right w:val="nil"/>
            </w:tcBorders>
            <w:vAlign w:val="center"/>
          </w:tcPr>
          <w:p w14:paraId="096438FC">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Tensile Strength</w:t>
            </w:r>
          </w:p>
        </w:tc>
        <w:tc>
          <w:tcPr>
            <w:tcW w:w="2957" w:type="dxa"/>
            <w:tcBorders>
              <w:top w:val="nil"/>
              <w:left w:val="nil"/>
              <w:right w:val="nil"/>
            </w:tcBorders>
            <w:vAlign w:val="center"/>
          </w:tcPr>
          <w:p w14:paraId="64EAC5A8">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55.0–60.0</w:t>
            </w:r>
          </w:p>
        </w:tc>
        <w:tc>
          <w:tcPr>
            <w:tcW w:w="1183" w:type="dxa"/>
            <w:tcBorders>
              <w:top w:val="nil"/>
              <w:left w:val="nil"/>
              <w:right w:val="nil"/>
            </w:tcBorders>
            <w:vAlign w:val="center"/>
          </w:tcPr>
          <w:p w14:paraId="1DAD9B05">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455" w:type="dxa"/>
            <w:tcBorders>
              <w:top w:val="nil"/>
              <w:left w:val="nil"/>
              <w:right w:val="nil"/>
            </w:tcBorders>
            <w:vAlign w:val="center"/>
          </w:tcPr>
          <w:p w14:paraId="2820D241">
            <w:pPr>
              <w:keepNext w:val="0"/>
              <w:keepLines w:val="0"/>
              <w:widowControl/>
              <w:suppressLineNumbers w:val="0"/>
              <w:spacing w:line="240" w:lineRule="auto"/>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569566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cs="Arial"/>
          <w:color w:val="000000"/>
          <w:sz w:val="24"/>
          <w:szCs w:val="24"/>
        </w:rPr>
      </w:pPr>
      <w:r>
        <w:rPr>
          <w:rFonts w:hint="default" w:ascii="Arial" w:hAnsi="Arial" w:eastAsia="宋体" w:cs="Arial"/>
          <w:color w:val="000000"/>
          <w:kern w:val="0"/>
          <w:sz w:val="24"/>
          <w:szCs w:val="24"/>
          <w:bdr w:val="none" w:color="auto" w:sz="0" w:space="0"/>
          <w:lang w:val="en-US" w:eastAsia="zh-CN" w:bidi="ar"/>
        </w:rPr>
        <w:t>*The above parameters represent typical results only and shall not be regarded as specifications. Refer to the actual COA for details.</w:t>
      </w:r>
    </w:p>
    <w:p w14:paraId="75741D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Storage</w:t>
      </w:r>
    </w:p>
    <w:p w14:paraId="08772ED0">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Store in the original sealed container.</w:t>
      </w:r>
    </w:p>
    <w:p w14:paraId="224A4179">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Re</w:t>
      </w:r>
      <w:r>
        <w:rPr>
          <w:rFonts w:hint="default" w:ascii="Arial" w:hAnsi="Arial" w:cs="Arial"/>
          <w:color w:val="000000"/>
          <w:sz w:val="24"/>
          <w:szCs w:val="24"/>
        </w:rPr>
        <w:t>commended storage temperature: 6–28 °C.</w:t>
      </w:r>
    </w:p>
    <w:p w14:paraId="00A803B5">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Use within 6 months from the production date.</w:t>
      </w:r>
    </w:p>
    <w:p w14:paraId="1A4B909D">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Avoid di</w:t>
      </w:r>
      <w:r>
        <w:rPr>
          <w:rFonts w:hint="default" w:ascii="Arial" w:hAnsi="Arial" w:cs="Arial"/>
          <w:color w:val="000000"/>
          <w:sz w:val="24"/>
          <w:szCs w:val="24"/>
          <w:bdr w:val="none" w:color="auto" w:sz="0" w:space="0"/>
        </w:rPr>
        <w:t>rect sunlight and contamination by other substances.</w:t>
      </w:r>
    </w:p>
    <w:p w14:paraId="5D20232D">
      <w:pPr>
        <w:spacing w:line="360" w:lineRule="auto"/>
        <w:ind w:firstLine="480"/>
        <w:rPr>
          <w:rFonts w:hint="default" w:ascii="Arial" w:hAnsi="Arial" w:eastAsia="微软雅黑" w:cs="Arial"/>
          <w:sz w:val="24"/>
          <w:szCs w:val="24"/>
        </w:rPr>
      </w:pPr>
    </w:p>
    <w:tbl>
      <w:tblPr>
        <w:tblStyle w:val="7"/>
        <w:tblW w:w="0" w:type="auto"/>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9"/>
      </w:tblGrid>
      <w:tr w14:paraId="53D3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49" w:type="dxa"/>
            <w:tcBorders>
              <w:left w:val="nil"/>
              <w:bottom w:val="nil"/>
              <w:right w:val="nil"/>
            </w:tcBorders>
          </w:tcPr>
          <w:p w14:paraId="34F2708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01C13AE9">
      <w:pPr>
        <w:spacing w:line="360" w:lineRule="auto"/>
        <w:rPr>
          <w:rFonts w:hint="default" w:ascii="Arial" w:hAnsi="Arial" w:eastAsia="微软雅黑" w:cs="Arial"/>
          <w:b/>
          <w:bCs/>
          <w:sz w:val="24"/>
          <w:szCs w:val="24"/>
        </w:rPr>
      </w:pPr>
    </w:p>
    <w:p w14:paraId="68CF147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4"/>
          <w:szCs w:val="24"/>
        </w:rPr>
      </w:pPr>
      <w:r>
        <w:rPr>
          <w:rFonts w:hint="default" w:ascii="Arial" w:hAnsi="Arial" w:cs="Arial"/>
          <w:color w:val="000000"/>
          <w:sz w:val="24"/>
          <w:szCs w:val="24"/>
          <w:bdr w:val="none" w:color="auto" w:sz="0" w:space="0"/>
        </w:rPr>
        <w:t>Precautions</w:t>
      </w:r>
    </w:p>
    <w:p w14:paraId="612ABE5F">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bdr w:val="none" w:color="auto" w:sz="0" w:space="0"/>
        </w:rPr>
        <w:t>Adding a curin</w:t>
      </w:r>
      <w:r>
        <w:rPr>
          <w:rFonts w:hint="default" w:ascii="Arial" w:hAnsi="Arial" w:cs="Arial"/>
          <w:color w:val="000000"/>
          <w:sz w:val="24"/>
          <w:szCs w:val="24"/>
        </w:rPr>
        <w:t>g agent can improve fastness but may affect hand feel.</w:t>
      </w:r>
    </w:p>
    <w:p w14:paraId="31167D44">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Waterborne resin added with crosslinking agent must be used within 24 hours.</w:t>
      </w:r>
    </w:p>
    <w:p w14:paraId="7FC1C927">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Do not mix with o</w:t>
      </w:r>
      <w:r>
        <w:rPr>
          <w:rFonts w:hint="default" w:ascii="Arial" w:hAnsi="Arial" w:cs="Arial"/>
          <w:color w:val="000000"/>
          <w:sz w:val="24"/>
          <w:szCs w:val="24"/>
          <w:bdr w:val="none" w:color="auto" w:sz="0" w:space="0"/>
        </w:rPr>
        <w:t>ther cationic resins.</w:t>
      </w:r>
    </w:p>
    <w:p w14:paraId="124B20D6">
      <w:pPr>
        <w:tabs>
          <w:tab w:val="left" w:pos="720"/>
          <w:tab w:val="left" w:pos="1980"/>
        </w:tabs>
        <w:spacing w:line="360" w:lineRule="auto"/>
        <w:ind w:firstLine="464" w:firstLineChars="200"/>
        <w:rPr>
          <w:rFonts w:hint="default" w:ascii="Arial" w:hAnsi="Arial" w:eastAsia="微软雅黑" w:cs="Arial"/>
          <w:spacing w:val="-4"/>
          <w:sz w:val="24"/>
          <w:szCs w:val="24"/>
        </w:rPr>
      </w:pPr>
    </w:p>
    <w:p w14:paraId="67377972">
      <w:pPr>
        <w:tabs>
          <w:tab w:val="left" w:pos="720"/>
          <w:tab w:val="left" w:pos="1980"/>
        </w:tabs>
        <w:spacing w:line="360" w:lineRule="auto"/>
        <w:ind w:left="420" w:leftChars="200" w:firstLine="232" w:firstLineChars="100"/>
        <w:rPr>
          <w:rFonts w:hint="default" w:ascii="Arial" w:hAnsi="Arial" w:eastAsia="微软雅黑" w:cs="Arial"/>
          <w:spacing w:val="-4"/>
          <w:sz w:val="24"/>
          <w:szCs w:val="24"/>
        </w:rPr>
      </w:pPr>
    </w:p>
    <w:p w14:paraId="563B0419">
      <w:pPr>
        <w:tabs>
          <w:tab w:val="left" w:pos="921"/>
        </w:tabs>
        <w:spacing w:line="360" w:lineRule="auto"/>
        <w:rPr>
          <w:rFonts w:hint="default" w:ascii="Arial" w:hAnsi="Arial" w:eastAsia="微软雅黑" w:cs="Arial"/>
          <w:b/>
          <w:bCs/>
          <w:sz w:val="24"/>
          <w:szCs w:val="24"/>
        </w:rPr>
      </w:pPr>
    </w:p>
    <w:p w14:paraId="31190C53">
      <w:pPr>
        <w:spacing w:line="360" w:lineRule="auto"/>
        <w:rPr>
          <w:rFonts w:hint="default" w:ascii="Arial" w:hAnsi="Arial" w:eastAsia="微软雅黑" w:cs="Arial"/>
          <w:b/>
          <w:bCs/>
          <w:sz w:val="24"/>
          <w:szCs w:val="24"/>
        </w:rPr>
      </w:pPr>
    </w:p>
    <w:p w14:paraId="2F801CBF">
      <w:pPr>
        <w:spacing w:line="360" w:lineRule="auto"/>
        <w:rPr>
          <w:rFonts w:hint="default" w:ascii="Arial" w:hAnsi="Arial" w:eastAsia="微软雅黑" w:cs="Arial"/>
          <w:b/>
          <w:bCs/>
          <w:sz w:val="24"/>
          <w:szCs w:val="24"/>
        </w:rPr>
      </w:pPr>
    </w:p>
    <w:p w14:paraId="28FA8C71">
      <w:pPr>
        <w:spacing w:line="360" w:lineRule="auto"/>
        <w:rPr>
          <w:rFonts w:hint="default" w:ascii="Arial" w:hAnsi="Arial" w:eastAsia="微软雅黑" w:cs="Arial"/>
          <w:b/>
          <w:bCs/>
          <w:sz w:val="24"/>
          <w:szCs w:val="24"/>
        </w:rPr>
      </w:pPr>
    </w:p>
    <w:p w14:paraId="3F7049F3">
      <w:pPr>
        <w:spacing w:line="360" w:lineRule="auto"/>
        <w:rPr>
          <w:rFonts w:hint="default" w:ascii="Arial" w:hAnsi="Arial" w:eastAsia="微软雅黑" w:cs="Arial"/>
          <w:b/>
          <w:bCs/>
          <w:sz w:val="24"/>
          <w:szCs w:val="24"/>
        </w:rPr>
      </w:pPr>
    </w:p>
    <w:p w14:paraId="2939EE27">
      <w:pPr>
        <w:spacing w:line="360" w:lineRule="auto"/>
        <w:rPr>
          <w:rFonts w:hint="default" w:ascii="Arial" w:hAnsi="Arial" w:eastAsia="微软雅黑" w:cs="Arial"/>
          <w:b/>
          <w:bCs/>
          <w:sz w:val="24"/>
          <w:szCs w:val="24"/>
        </w:rPr>
      </w:pPr>
      <w:bookmarkStart w:id="0" w:name="_GoBack"/>
      <w:bookmarkEnd w:id="0"/>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0DB6EE06">
      <w:pPr>
        <w:spacing w:line="360" w:lineRule="auto"/>
        <w:rPr>
          <w:rFonts w:hint="default" w:ascii="Arial" w:hAnsi="Arial" w:eastAsia="微软雅黑" w:cs="Arial"/>
          <w:b/>
          <w:bCs/>
          <w:sz w:val="24"/>
          <w:szCs w:val="24"/>
        </w:rPr>
      </w:pPr>
    </w:p>
    <w:sectPr>
      <w:headerReference r:id="rId4" w:type="first"/>
      <w:footerReference r:id="rId6" w:type="first"/>
      <w:headerReference r:id="rId3" w:type="default"/>
      <w:footerReference r:id="rId5" w:type="default"/>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4502785</wp:posOffset>
              </wp:positionH>
              <wp:positionV relativeFrom="paragraph">
                <wp:posOffset>22225</wp:posOffset>
              </wp:positionV>
              <wp:extent cx="1697990"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698172"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54.55pt;margin-top:1.75pt;height:48.75pt;width:133.7pt;mso-position-horizontal-relative:margin;z-index:251659264;mso-width-relative:page;mso-height-relative:page;" filled="f" stroked="f" coordsize="21600,21600" o:gfxdata="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kkqby2QAAAAkBAAAPAAAAAAAAAAEAIAAAACIAAABkcnMv&#10;ZG93bnJldi54bWxQSwECFAAUAAAACACHTuJAZW5e+TsCAABmBAAADgAAAAAAAAABACAAAAAoAQAA&#10;ZHJzL2Uyb0RvYy54bWxQSwUGAAAAAAYABgBZAQAA1QU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801</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3628390</wp:posOffset>
              </wp:positionH>
              <wp:positionV relativeFrom="paragraph">
                <wp:posOffset>499745</wp:posOffset>
              </wp:positionV>
              <wp:extent cx="1828800" cy="607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607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DCEDBE">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5.7pt;margin-top:39.35pt;height:47.8pt;width:144pt;mso-wrap-style:none;z-index:251661312;mso-width-relative:page;mso-height-relative:page;" filled="f" stroked="f" coordsize="21600,21600" o:gfxdata="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L2Q2pdwAAAAKAQAADwAAAAAAAAABACAAAAAiAAAAZHJz&#10;L2Rvd25yZXYueG1sUEsBAhQAFAAAAAgAh07iQFZEBD85AgAAZAQAAA4AAAAAAAAAAQAgAAAAKwEA&#10;AGRycy9lMm9Eb2MueG1sUEsFBgAAAAAGAAYAWQEAANYFAAAAAA==&#10;">
              <v:fill on="f" focussize="0,0"/>
              <v:stroke on="f" weight="0.5pt"/>
              <v:imagedata o:title=""/>
              <o:lock v:ext="edit" aspectratio="f"/>
              <v:textbox>
                <w:txbxContent>
                  <w:p w14:paraId="7BDCEDBE">
                    <w:pPr>
                      <w:rPr>
                        <w:rFonts w:hint="eastAsia"/>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4A38E6"/>
    <w:multiLevelType w:val="singleLevel"/>
    <w:tmpl w:val="E94A38E6"/>
    <w:lvl w:ilvl="0" w:tentative="0">
      <w:start w:val="1"/>
      <w:numFmt w:val="decimal"/>
      <w:lvlText w:val="%1."/>
      <w:lvlJc w:val="left"/>
      <w:pPr>
        <w:ind w:left="425" w:hanging="425"/>
      </w:pPr>
      <w:rPr>
        <w:rFonts w:hint="default"/>
      </w:rPr>
    </w:lvl>
  </w:abstractNum>
  <w:abstractNum w:abstractNumId="1">
    <w:nsid w:val="055007FE"/>
    <w:multiLevelType w:val="singleLevel"/>
    <w:tmpl w:val="055007FE"/>
    <w:lvl w:ilvl="0" w:tentative="0">
      <w:start w:val="1"/>
      <w:numFmt w:val="decimal"/>
      <w:lvlText w:val="%1."/>
      <w:lvlJc w:val="left"/>
      <w:pPr>
        <w:ind w:left="425" w:hanging="425"/>
      </w:pPr>
      <w:rPr>
        <w:rFonts w:hint="default"/>
      </w:rPr>
    </w:lvl>
  </w:abstractNum>
  <w:abstractNum w:abstractNumId="2">
    <w:nsid w:val="701DAC2A"/>
    <w:multiLevelType w:val="singleLevel"/>
    <w:tmpl w:val="701DAC2A"/>
    <w:lvl w:ilvl="0" w:tentative="0">
      <w:start w:val="1"/>
      <w:numFmt w:val="decimal"/>
      <w:lvlText w:val="%1."/>
      <w:lvlJc w:val="left"/>
      <w:pPr>
        <w:ind w:left="425" w:hanging="425"/>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136635"/>
    <w:rsid w:val="00156019"/>
    <w:rsid w:val="00296707"/>
    <w:rsid w:val="002F6D5B"/>
    <w:rsid w:val="003550AC"/>
    <w:rsid w:val="003E7376"/>
    <w:rsid w:val="00455912"/>
    <w:rsid w:val="004824A8"/>
    <w:rsid w:val="004E10FB"/>
    <w:rsid w:val="00505831"/>
    <w:rsid w:val="00527365"/>
    <w:rsid w:val="006778B2"/>
    <w:rsid w:val="007F0B30"/>
    <w:rsid w:val="00867CB0"/>
    <w:rsid w:val="008946E7"/>
    <w:rsid w:val="00912B14"/>
    <w:rsid w:val="0097112D"/>
    <w:rsid w:val="00977CD2"/>
    <w:rsid w:val="00AD4610"/>
    <w:rsid w:val="00AE3A72"/>
    <w:rsid w:val="00B75EDD"/>
    <w:rsid w:val="00C81B08"/>
    <w:rsid w:val="00CE391E"/>
    <w:rsid w:val="00DC3628"/>
    <w:rsid w:val="00E13187"/>
    <w:rsid w:val="00E35A46"/>
    <w:rsid w:val="00E52358"/>
    <w:rsid w:val="00E76590"/>
    <w:rsid w:val="00EA7C31"/>
    <w:rsid w:val="00F02A8D"/>
    <w:rsid w:val="00F220B9"/>
    <w:rsid w:val="00F253D2"/>
    <w:rsid w:val="00FF31FE"/>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9866A1"/>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7FC6EC9"/>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17228"/>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626</Words>
  <Characters>742</Characters>
  <Lines>5</Lines>
  <Paragraphs>1</Paragraphs>
  <TotalTime>5</TotalTime>
  <ScaleCrop>false</ScaleCrop>
  <LinksUpToDate>false</LinksUpToDate>
  <CharactersWithSpaces>757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2024-09-28T05:10:00Z</dcterms:created>
  <dc:creator>Davis</dc:creator>
  <cp:lastModifiedBy>戴眼镜的麻杆。</cp:lastModifiedBy>
  <cp:lastPrinted>2024-06-20T10:29:00Z</cp:lastPrinted>
  <dcterms:modified xsi:type="dcterms:W3CDTF">2026-04-13T08:53:28Z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