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79A193">
      <w:pPr>
        <w:spacing w:line="100" w:lineRule="exact"/>
        <w:jc w:val="center"/>
        <w:rPr>
          <w:rFonts w:hint="default" w:ascii="Arial" w:hAnsi="Arial" w:eastAsia="微软雅黑" w:cs="Arial"/>
          <w:b/>
          <w:bCs/>
          <w:sz w:val="10"/>
          <w:szCs w:val="10"/>
        </w:rPr>
      </w:pPr>
    </w:p>
    <w:p w14:paraId="45A000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32"/>
          <w:szCs w:val="32"/>
        </w:rPr>
      </w:pPr>
      <w:r>
        <w:rPr>
          <w:rFonts w:hint="default" w:ascii="Arial" w:hAnsi="Arial" w:cs="Arial"/>
          <w:color w:val="000000"/>
          <w:sz w:val="32"/>
          <w:szCs w:val="32"/>
          <w:bdr w:val="none" w:color="auto" w:sz="0" w:space="0"/>
        </w:rPr>
        <w:t>Product Technical Specification</w:t>
      </w:r>
    </w:p>
    <w:p w14:paraId="6FC3E6F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Introduction</w:t>
      </w:r>
    </w:p>
    <w:p w14:paraId="04F953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CR-G120 is a hydrophilically modified isocyanate curing agent designed for waterborne two-component polyurethane systems. It features high functionality, low viscosity, high isocyanate content, and fast curing speed. When combined with waterborne polyurethane resins or waterborne acrylic resins, it significantly improves bonding strength, heat resistance, and hydrolysis resistance of bonded products. It is suitable for printing, leather finishing, automotive interior adhesives, shoe adhesives, vacuum lamination adhesives, and other applications.</w:t>
      </w:r>
    </w:p>
    <w:p w14:paraId="20D8A49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jc w:val="left"/>
        <w:textAlignment w:val="auto"/>
        <w:rPr>
          <w:rFonts w:hint="default" w:ascii="Arial" w:hAnsi="Arial" w:eastAsia="宋体" w:cs="Arial"/>
          <w:color w:val="000000"/>
          <w:kern w:val="0"/>
          <w:sz w:val="24"/>
          <w:szCs w:val="24"/>
          <w:bdr w:val="none" w:color="auto" w:sz="0" w:space="0"/>
          <w:lang w:val="en-US" w:eastAsia="zh-CN" w:bidi="ar"/>
        </w:rPr>
      </w:pPr>
      <w:r>
        <w:rPr>
          <w:rFonts w:hint="default" w:ascii="Arial" w:hAnsi="Arial" w:eastAsia="宋体" w:cs="Arial"/>
          <w:color w:val="000000"/>
          <w:kern w:val="0"/>
          <w:sz w:val="24"/>
          <w:szCs w:val="24"/>
          <w:bdr w:val="none" w:color="auto" w:sz="0" w:space="0"/>
          <w:lang w:val="en-US" w:eastAsia="zh-CN" w:bidi="ar"/>
        </w:rPr>
        <w:t>Solvents may be added for dilution; urethane-grade solvents are recommended. Conduct specific tests before use.</w:t>
      </w:r>
    </w:p>
    <w:p w14:paraId="2B21D6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eastAsia="宋体" w:cs="Arial"/>
          <w:color w:val="000000"/>
          <w:kern w:val="0"/>
          <w:sz w:val="24"/>
          <w:szCs w:val="24"/>
          <w:bdr w:val="none" w:color="auto" w:sz="0" w:space="0"/>
          <w:lang w:val="en-US" w:eastAsia="zh-CN" w:bidi="ar"/>
        </w:rPr>
      </w:pPr>
    </w:p>
    <w:p w14:paraId="01E65C6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Features</w:t>
      </w:r>
    </w:p>
    <w:p w14:paraId="5E671FF3">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High functionality, low viscosity.</w:t>
      </w:r>
    </w:p>
    <w:p w14:paraId="0D1F4318">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Easy to disperse, free of VOCs.</w:t>
      </w:r>
    </w:p>
    <w:p w14:paraId="65DD10DD">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8"/>
          <w:szCs w:val="28"/>
          <w:bdr w:val="none" w:color="auto" w:sz="0" w:space="0"/>
        </w:rPr>
      </w:pPr>
      <w:r>
        <w:rPr>
          <w:rFonts w:hint="default" w:ascii="Arial" w:hAnsi="Arial" w:cs="Arial"/>
          <w:color w:val="000000"/>
          <w:sz w:val="24"/>
          <w:szCs w:val="24"/>
          <w:bdr w:val="none" w:color="auto" w:sz="0" w:space="0"/>
        </w:rPr>
        <w:t>Long open time.</w:t>
      </w:r>
    </w:p>
    <w:p w14:paraId="37A7EB39">
      <w:pPr>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Chars="0" w:right="0" w:rightChars="0"/>
        <w:jc w:val="left"/>
        <w:rPr>
          <w:rFonts w:hint="default" w:ascii="Arial" w:hAnsi="Arial" w:cs="Arial"/>
          <w:color w:val="000000"/>
          <w:sz w:val="28"/>
          <w:szCs w:val="28"/>
          <w:bdr w:val="none" w:color="auto" w:sz="0" w:space="0"/>
        </w:rPr>
      </w:pPr>
    </w:p>
    <w:p w14:paraId="74DEE29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eastAsia="微软雅黑" w:cs="Arial"/>
          <w:spacing w:val="-4"/>
          <w:sz w:val="24"/>
        </w:rPr>
      </w:pPr>
      <w:r>
        <w:rPr>
          <w:rFonts w:hint="default" w:ascii="Arial" w:hAnsi="Arial" w:cs="Arial"/>
          <w:color w:val="000000"/>
          <w:sz w:val="28"/>
          <w:szCs w:val="28"/>
          <w:bdr w:val="none" w:color="auto" w:sz="0" w:space="0"/>
        </w:rPr>
        <w:t>Product Technical Parameters*</w:t>
      </w:r>
    </w:p>
    <w:tbl>
      <w:tblPr>
        <w:tblStyle w:val="6"/>
        <w:tblW w:w="90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5"/>
        <w:gridCol w:w="2544"/>
        <w:gridCol w:w="1731"/>
        <w:gridCol w:w="2617"/>
      </w:tblGrid>
      <w:tr w14:paraId="73C4F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2205" w:type="dxa"/>
            <w:tcBorders>
              <w:left w:val="nil"/>
              <w:bottom w:val="nil"/>
              <w:right w:val="nil"/>
            </w:tcBorders>
            <w:vAlign w:val="center"/>
          </w:tcPr>
          <w:p w14:paraId="25A8AC07">
            <w:pPr>
              <w:keepNext w:val="0"/>
              <w:keepLines w:val="0"/>
              <w:widowControl/>
              <w:suppressLineNumbers w:val="0"/>
              <w:jc w:val="center"/>
              <w:rPr>
                <w:rFonts w:hint="default" w:ascii="Arial" w:hAnsi="Arial" w:eastAsia="微软雅黑" w:cs="Arial"/>
                <w:b/>
                <w:bCs/>
                <w:sz w:val="22"/>
                <w:szCs w:val="22"/>
              </w:rPr>
            </w:pPr>
            <w:r>
              <w:rPr>
                <w:rFonts w:hint="default" w:ascii="Arial" w:hAnsi="Arial" w:eastAsia="宋体" w:cs="Arial"/>
                <w:b/>
                <w:bCs/>
                <w:caps w:val="0"/>
                <w:spacing w:val="0"/>
                <w:kern w:val="0"/>
                <w:sz w:val="28"/>
                <w:szCs w:val="28"/>
                <w:lang w:val="en-US" w:eastAsia="zh-CN" w:bidi="ar"/>
              </w:rPr>
              <w:t>Item</w:t>
            </w:r>
          </w:p>
        </w:tc>
        <w:tc>
          <w:tcPr>
            <w:tcW w:w="2544" w:type="dxa"/>
            <w:tcBorders>
              <w:top w:val="single" w:color="auto" w:sz="4" w:space="0"/>
              <w:left w:val="nil"/>
              <w:bottom w:val="nil"/>
              <w:right w:val="nil"/>
            </w:tcBorders>
            <w:vAlign w:val="center"/>
          </w:tcPr>
          <w:p w14:paraId="52DC6048">
            <w:pPr>
              <w:keepNext w:val="0"/>
              <w:keepLines w:val="0"/>
              <w:widowControl/>
              <w:suppressLineNumbers w:val="0"/>
              <w:jc w:val="center"/>
              <w:rPr>
                <w:rFonts w:hint="default" w:ascii="Arial" w:hAnsi="Arial" w:eastAsia="微软雅黑" w:cs="Arial"/>
                <w:b/>
                <w:bCs/>
                <w:sz w:val="22"/>
                <w:szCs w:val="22"/>
              </w:rPr>
            </w:pPr>
            <w:r>
              <w:rPr>
                <w:rFonts w:hint="default" w:ascii="Arial" w:hAnsi="Arial" w:eastAsia="宋体" w:cs="Arial"/>
                <w:b/>
                <w:bCs/>
                <w:caps w:val="0"/>
                <w:spacing w:val="0"/>
                <w:kern w:val="0"/>
                <w:sz w:val="28"/>
                <w:szCs w:val="28"/>
                <w:lang w:val="en-US" w:eastAsia="zh-CN" w:bidi="ar"/>
              </w:rPr>
              <w:t>Parameter</w:t>
            </w:r>
          </w:p>
        </w:tc>
        <w:tc>
          <w:tcPr>
            <w:tcW w:w="1731" w:type="dxa"/>
            <w:tcBorders>
              <w:top w:val="single" w:color="auto" w:sz="4" w:space="0"/>
              <w:left w:val="nil"/>
              <w:bottom w:val="nil"/>
              <w:right w:val="nil"/>
            </w:tcBorders>
            <w:vAlign w:val="center"/>
          </w:tcPr>
          <w:p w14:paraId="6B669EE4">
            <w:pPr>
              <w:keepNext w:val="0"/>
              <w:keepLines w:val="0"/>
              <w:widowControl/>
              <w:suppressLineNumbers w:val="0"/>
              <w:jc w:val="center"/>
              <w:rPr>
                <w:rFonts w:hint="default" w:ascii="Arial" w:hAnsi="Arial" w:eastAsia="微软雅黑" w:cs="Arial"/>
                <w:b/>
                <w:bCs/>
                <w:sz w:val="22"/>
                <w:szCs w:val="22"/>
              </w:rPr>
            </w:pPr>
            <w:r>
              <w:rPr>
                <w:rFonts w:hint="default" w:ascii="Arial" w:hAnsi="Arial" w:eastAsia="宋体" w:cs="Arial"/>
                <w:b/>
                <w:bCs/>
                <w:caps w:val="0"/>
                <w:spacing w:val="0"/>
                <w:kern w:val="0"/>
                <w:sz w:val="28"/>
                <w:szCs w:val="28"/>
                <w:lang w:val="en-US" w:eastAsia="zh-CN" w:bidi="ar"/>
              </w:rPr>
              <w:t>Unit</w:t>
            </w:r>
          </w:p>
        </w:tc>
        <w:tc>
          <w:tcPr>
            <w:tcW w:w="2617" w:type="dxa"/>
            <w:tcBorders>
              <w:top w:val="single" w:color="auto" w:sz="4" w:space="0"/>
              <w:left w:val="nil"/>
              <w:bottom w:val="nil"/>
              <w:right w:val="nil"/>
            </w:tcBorders>
            <w:vAlign w:val="center"/>
          </w:tcPr>
          <w:p w14:paraId="5AEA90E1">
            <w:pPr>
              <w:keepNext w:val="0"/>
              <w:keepLines w:val="0"/>
              <w:widowControl/>
              <w:suppressLineNumbers w:val="0"/>
              <w:jc w:val="center"/>
              <w:rPr>
                <w:rFonts w:hint="default" w:ascii="Arial" w:hAnsi="Arial" w:eastAsia="微软雅黑" w:cs="Arial"/>
                <w:b/>
                <w:bCs/>
                <w:sz w:val="22"/>
                <w:szCs w:val="22"/>
              </w:rPr>
            </w:pPr>
            <w:r>
              <w:rPr>
                <w:rFonts w:hint="default" w:ascii="Arial" w:hAnsi="Arial" w:eastAsia="宋体" w:cs="Arial"/>
                <w:b/>
                <w:bCs/>
                <w:caps w:val="0"/>
                <w:spacing w:val="0"/>
                <w:kern w:val="0"/>
                <w:sz w:val="28"/>
                <w:szCs w:val="28"/>
                <w:lang w:val="en-US" w:eastAsia="zh-CN" w:bidi="ar"/>
              </w:rPr>
              <w:t>Test Method</w:t>
            </w:r>
          </w:p>
        </w:tc>
      </w:tr>
      <w:tr w14:paraId="2DF67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2205" w:type="dxa"/>
            <w:tcBorders>
              <w:left w:val="nil"/>
              <w:bottom w:val="nil"/>
              <w:right w:val="nil"/>
            </w:tcBorders>
            <w:vAlign w:val="center"/>
          </w:tcPr>
          <w:p w14:paraId="6581603E">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Appearance</w:t>
            </w:r>
          </w:p>
        </w:tc>
        <w:tc>
          <w:tcPr>
            <w:tcW w:w="2544" w:type="dxa"/>
            <w:tcBorders>
              <w:top w:val="single" w:color="auto" w:sz="4" w:space="0"/>
              <w:left w:val="nil"/>
              <w:bottom w:val="nil"/>
              <w:right w:val="nil"/>
            </w:tcBorders>
            <w:vAlign w:val="center"/>
          </w:tcPr>
          <w:p w14:paraId="2F561A3E">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Colorless to pale yellow clear liquid</w:t>
            </w:r>
          </w:p>
        </w:tc>
        <w:tc>
          <w:tcPr>
            <w:tcW w:w="1731" w:type="dxa"/>
            <w:tcBorders>
              <w:top w:val="single" w:color="auto" w:sz="4" w:space="0"/>
              <w:left w:val="nil"/>
              <w:bottom w:val="nil"/>
              <w:right w:val="nil"/>
            </w:tcBorders>
            <w:vAlign w:val="center"/>
          </w:tcPr>
          <w:p w14:paraId="15398FB2">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w:t>
            </w:r>
          </w:p>
        </w:tc>
        <w:tc>
          <w:tcPr>
            <w:tcW w:w="2617" w:type="dxa"/>
            <w:tcBorders>
              <w:top w:val="single" w:color="auto" w:sz="4" w:space="0"/>
              <w:left w:val="nil"/>
              <w:bottom w:val="nil"/>
              <w:right w:val="nil"/>
            </w:tcBorders>
            <w:vAlign w:val="center"/>
          </w:tcPr>
          <w:p w14:paraId="5C4A6AF7">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GB/T 14074.1-1993</w:t>
            </w:r>
          </w:p>
        </w:tc>
      </w:tr>
      <w:tr w14:paraId="581D1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205" w:type="dxa"/>
            <w:tcBorders>
              <w:top w:val="nil"/>
              <w:left w:val="nil"/>
              <w:bottom w:val="nil"/>
              <w:right w:val="nil"/>
            </w:tcBorders>
            <w:vAlign w:val="center"/>
          </w:tcPr>
          <w:p w14:paraId="62E4F15E">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Solid Content</w:t>
            </w:r>
          </w:p>
        </w:tc>
        <w:tc>
          <w:tcPr>
            <w:tcW w:w="2544" w:type="dxa"/>
            <w:tcBorders>
              <w:top w:val="nil"/>
              <w:left w:val="nil"/>
              <w:bottom w:val="nil"/>
              <w:right w:val="nil"/>
            </w:tcBorders>
            <w:vAlign w:val="center"/>
          </w:tcPr>
          <w:p w14:paraId="040C9BC9">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100</w:t>
            </w:r>
          </w:p>
        </w:tc>
        <w:tc>
          <w:tcPr>
            <w:tcW w:w="1731" w:type="dxa"/>
            <w:tcBorders>
              <w:top w:val="nil"/>
              <w:left w:val="nil"/>
              <w:bottom w:val="nil"/>
              <w:right w:val="nil"/>
            </w:tcBorders>
            <w:vAlign w:val="center"/>
          </w:tcPr>
          <w:p w14:paraId="72C1326D">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w:t>
            </w:r>
          </w:p>
        </w:tc>
        <w:tc>
          <w:tcPr>
            <w:tcW w:w="2617" w:type="dxa"/>
            <w:tcBorders>
              <w:top w:val="nil"/>
              <w:left w:val="nil"/>
              <w:bottom w:val="nil"/>
              <w:right w:val="nil"/>
            </w:tcBorders>
            <w:vAlign w:val="center"/>
          </w:tcPr>
          <w:p w14:paraId="78B87994">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GB/T 2793-1995</w:t>
            </w:r>
          </w:p>
        </w:tc>
      </w:tr>
      <w:tr w14:paraId="1AA27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205" w:type="dxa"/>
            <w:tcBorders>
              <w:top w:val="nil"/>
              <w:left w:val="nil"/>
              <w:bottom w:val="nil"/>
              <w:right w:val="nil"/>
            </w:tcBorders>
            <w:vAlign w:val="center"/>
          </w:tcPr>
          <w:p w14:paraId="6F29E8FA">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Viscosity (25℃)</w:t>
            </w:r>
          </w:p>
        </w:tc>
        <w:tc>
          <w:tcPr>
            <w:tcW w:w="2544" w:type="dxa"/>
            <w:tcBorders>
              <w:top w:val="nil"/>
              <w:left w:val="nil"/>
              <w:bottom w:val="nil"/>
              <w:right w:val="nil"/>
            </w:tcBorders>
            <w:vAlign w:val="center"/>
          </w:tcPr>
          <w:p w14:paraId="35DBC1A5">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700–2000</w:t>
            </w:r>
          </w:p>
        </w:tc>
        <w:tc>
          <w:tcPr>
            <w:tcW w:w="1731" w:type="dxa"/>
            <w:tcBorders>
              <w:top w:val="nil"/>
              <w:left w:val="nil"/>
              <w:bottom w:val="nil"/>
              <w:right w:val="nil"/>
            </w:tcBorders>
            <w:vAlign w:val="center"/>
          </w:tcPr>
          <w:p w14:paraId="4AA0B67A">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mPa·s</w:t>
            </w:r>
          </w:p>
        </w:tc>
        <w:tc>
          <w:tcPr>
            <w:tcW w:w="2617" w:type="dxa"/>
            <w:tcBorders>
              <w:top w:val="nil"/>
              <w:left w:val="nil"/>
              <w:bottom w:val="nil"/>
              <w:right w:val="nil"/>
            </w:tcBorders>
            <w:vAlign w:val="center"/>
          </w:tcPr>
          <w:p w14:paraId="12853081">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GB/T 10247-1998</w:t>
            </w:r>
          </w:p>
        </w:tc>
      </w:tr>
      <w:tr w14:paraId="4453B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205" w:type="dxa"/>
            <w:tcBorders>
              <w:top w:val="nil"/>
              <w:left w:val="nil"/>
              <w:bottom w:val="nil"/>
              <w:right w:val="nil"/>
            </w:tcBorders>
            <w:vAlign w:val="center"/>
          </w:tcPr>
          <w:p w14:paraId="64ECBEEA">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Color Number</w:t>
            </w:r>
          </w:p>
        </w:tc>
        <w:tc>
          <w:tcPr>
            <w:tcW w:w="2544" w:type="dxa"/>
            <w:tcBorders>
              <w:top w:val="nil"/>
              <w:left w:val="nil"/>
              <w:bottom w:val="nil"/>
              <w:right w:val="nil"/>
            </w:tcBorders>
            <w:vAlign w:val="center"/>
          </w:tcPr>
          <w:p w14:paraId="69650A05">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＜60</w:t>
            </w:r>
          </w:p>
        </w:tc>
        <w:tc>
          <w:tcPr>
            <w:tcW w:w="1731" w:type="dxa"/>
            <w:tcBorders>
              <w:top w:val="nil"/>
              <w:left w:val="nil"/>
              <w:bottom w:val="nil"/>
              <w:right w:val="nil"/>
            </w:tcBorders>
            <w:vAlign w:val="center"/>
          </w:tcPr>
          <w:p w14:paraId="643E5B0C">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w:t>
            </w:r>
          </w:p>
        </w:tc>
        <w:tc>
          <w:tcPr>
            <w:tcW w:w="2617" w:type="dxa"/>
            <w:tcBorders>
              <w:top w:val="nil"/>
              <w:left w:val="nil"/>
              <w:bottom w:val="nil"/>
              <w:right w:val="nil"/>
            </w:tcBorders>
            <w:vAlign w:val="center"/>
          </w:tcPr>
          <w:p w14:paraId="4737D784">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GB/T 1722-1992</w:t>
            </w:r>
          </w:p>
        </w:tc>
      </w:tr>
      <w:tr w14:paraId="5E1BF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205" w:type="dxa"/>
            <w:tcBorders>
              <w:top w:val="nil"/>
              <w:left w:val="nil"/>
              <w:bottom w:val="nil"/>
              <w:right w:val="nil"/>
            </w:tcBorders>
            <w:vAlign w:val="center"/>
          </w:tcPr>
          <w:p w14:paraId="5B5EEAD7">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Density</w:t>
            </w:r>
          </w:p>
        </w:tc>
        <w:tc>
          <w:tcPr>
            <w:tcW w:w="2544" w:type="dxa"/>
            <w:tcBorders>
              <w:top w:val="nil"/>
              <w:left w:val="nil"/>
              <w:bottom w:val="nil"/>
              <w:right w:val="nil"/>
            </w:tcBorders>
            <w:vAlign w:val="center"/>
          </w:tcPr>
          <w:p w14:paraId="63641A76">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1.16</w:t>
            </w:r>
          </w:p>
        </w:tc>
        <w:tc>
          <w:tcPr>
            <w:tcW w:w="1731" w:type="dxa"/>
            <w:tcBorders>
              <w:top w:val="nil"/>
              <w:left w:val="nil"/>
              <w:bottom w:val="nil"/>
              <w:right w:val="nil"/>
            </w:tcBorders>
            <w:vAlign w:val="center"/>
          </w:tcPr>
          <w:p w14:paraId="12581156">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g/cm³</w:t>
            </w:r>
          </w:p>
        </w:tc>
        <w:tc>
          <w:tcPr>
            <w:tcW w:w="2617" w:type="dxa"/>
            <w:tcBorders>
              <w:top w:val="nil"/>
              <w:left w:val="nil"/>
              <w:bottom w:val="nil"/>
              <w:right w:val="nil"/>
            </w:tcBorders>
            <w:vAlign w:val="center"/>
          </w:tcPr>
          <w:p w14:paraId="579DDC5E">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GB/T 4472-2011</w:t>
            </w:r>
          </w:p>
        </w:tc>
      </w:tr>
      <w:tr w14:paraId="53CCE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205" w:type="dxa"/>
            <w:tcBorders>
              <w:top w:val="nil"/>
              <w:left w:val="nil"/>
              <w:bottom w:val="nil"/>
              <w:right w:val="nil"/>
            </w:tcBorders>
            <w:vAlign w:val="center"/>
          </w:tcPr>
          <w:p w14:paraId="70F8265E">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NCO Content</w:t>
            </w:r>
          </w:p>
        </w:tc>
        <w:tc>
          <w:tcPr>
            <w:tcW w:w="2544" w:type="dxa"/>
            <w:tcBorders>
              <w:top w:val="nil"/>
              <w:left w:val="nil"/>
              <w:bottom w:val="nil"/>
              <w:right w:val="nil"/>
            </w:tcBorders>
            <w:vAlign w:val="center"/>
          </w:tcPr>
          <w:p w14:paraId="7AE4E0E7">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20.5±1.0</w:t>
            </w:r>
          </w:p>
        </w:tc>
        <w:tc>
          <w:tcPr>
            <w:tcW w:w="1731" w:type="dxa"/>
            <w:tcBorders>
              <w:top w:val="nil"/>
              <w:left w:val="nil"/>
              <w:bottom w:val="nil"/>
              <w:right w:val="nil"/>
            </w:tcBorders>
            <w:vAlign w:val="center"/>
          </w:tcPr>
          <w:p w14:paraId="3994E864">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w:t>
            </w:r>
          </w:p>
        </w:tc>
        <w:tc>
          <w:tcPr>
            <w:tcW w:w="2617" w:type="dxa"/>
            <w:tcBorders>
              <w:top w:val="nil"/>
              <w:left w:val="nil"/>
              <w:bottom w:val="nil"/>
              <w:right w:val="nil"/>
            </w:tcBorders>
            <w:vAlign w:val="center"/>
          </w:tcPr>
          <w:p w14:paraId="20A42284">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GB 12009.4-2016</w:t>
            </w:r>
          </w:p>
        </w:tc>
      </w:tr>
      <w:tr w14:paraId="7D6B2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2205" w:type="dxa"/>
            <w:tcBorders>
              <w:top w:val="nil"/>
              <w:left w:val="nil"/>
              <w:right w:val="nil"/>
            </w:tcBorders>
            <w:vAlign w:val="center"/>
          </w:tcPr>
          <w:p w14:paraId="17E1AF5F">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Free HDI</w:t>
            </w:r>
          </w:p>
        </w:tc>
        <w:tc>
          <w:tcPr>
            <w:tcW w:w="2544" w:type="dxa"/>
            <w:tcBorders>
              <w:top w:val="nil"/>
              <w:left w:val="nil"/>
              <w:right w:val="nil"/>
            </w:tcBorders>
            <w:vAlign w:val="center"/>
          </w:tcPr>
          <w:p w14:paraId="4811817D">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＜0.2</w:t>
            </w:r>
          </w:p>
        </w:tc>
        <w:tc>
          <w:tcPr>
            <w:tcW w:w="1731" w:type="dxa"/>
            <w:tcBorders>
              <w:top w:val="nil"/>
              <w:left w:val="nil"/>
              <w:right w:val="nil"/>
            </w:tcBorders>
            <w:vAlign w:val="center"/>
          </w:tcPr>
          <w:p w14:paraId="62A1782B">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w:t>
            </w:r>
          </w:p>
        </w:tc>
        <w:tc>
          <w:tcPr>
            <w:tcW w:w="2617" w:type="dxa"/>
            <w:tcBorders>
              <w:top w:val="nil"/>
              <w:left w:val="nil"/>
              <w:right w:val="nil"/>
            </w:tcBorders>
            <w:vAlign w:val="center"/>
          </w:tcPr>
          <w:p w14:paraId="678BE8B4">
            <w:pPr>
              <w:keepNext w:val="0"/>
              <w:keepLines w:val="0"/>
              <w:widowControl/>
              <w:suppressLineNumbers w:val="0"/>
              <w:jc w:val="center"/>
              <w:rPr>
                <w:rFonts w:hint="default" w:ascii="Arial" w:hAnsi="Arial" w:eastAsia="微软雅黑" w:cs="Arial"/>
                <w:szCs w:val="21"/>
              </w:rPr>
            </w:pPr>
            <w:r>
              <w:rPr>
                <w:rFonts w:hint="default" w:ascii="Arial" w:hAnsi="Arial" w:eastAsia="宋体" w:cs="Arial"/>
                <w:caps w:val="0"/>
                <w:spacing w:val="0"/>
                <w:kern w:val="0"/>
                <w:sz w:val="24"/>
                <w:szCs w:val="24"/>
                <w:lang w:val="en-US" w:eastAsia="zh-CN" w:bidi="ar"/>
              </w:rPr>
              <w:t>GB/T 18446-2009</w:t>
            </w:r>
          </w:p>
        </w:tc>
      </w:tr>
    </w:tbl>
    <w:p w14:paraId="18520F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*The above parameters represent typical results only and shall not be regarded as specifications. Refer to the actual COA for details.</w:t>
      </w:r>
    </w:p>
    <w:p w14:paraId="7D2B046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bdr w:val="none" w:color="auto" w:sz="0" w:space="0"/>
        </w:rPr>
      </w:pPr>
    </w:p>
    <w:p w14:paraId="6206B3D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Recommended Dosage</w:t>
      </w:r>
    </w:p>
    <w:p w14:paraId="3F2A89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bdr w:val="none" w:color="auto" w:sz="0" w:space="0"/>
          <w:lang w:val="en-US" w:eastAsia="zh-CN" w:bidi="ar"/>
        </w:rPr>
      </w:pPr>
      <w:r>
        <w:rPr>
          <w:rFonts w:hint="default" w:ascii="Arial" w:hAnsi="Arial" w:eastAsia="宋体" w:cs="Arial"/>
          <w:color w:val="000000"/>
          <w:kern w:val="0"/>
          <w:sz w:val="24"/>
          <w:szCs w:val="24"/>
          <w:bdr w:val="none" w:color="auto" w:sz="0" w:space="0"/>
          <w:lang w:val="en-US" w:eastAsia="zh-CN" w:bidi="ar"/>
        </w:rPr>
        <w:t>Recommended addition level: 3.0–5.0%. Use up within 8 hours at 25℃.</w:t>
      </w:r>
    </w:p>
    <w:p w14:paraId="53D003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bdr w:val="none" w:color="auto" w:sz="0" w:space="0"/>
          <w:lang w:val="en-US" w:eastAsia="zh-CN" w:bidi="ar"/>
        </w:rPr>
      </w:pPr>
    </w:p>
    <w:p w14:paraId="28D1F4D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Solubility / Dilutability</w:t>
      </w:r>
    </w:p>
    <w:p w14:paraId="62C326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eastAsia="宋体" w:cs="Arial"/>
          <w:color w:val="000000"/>
          <w:kern w:val="0"/>
          <w:sz w:val="24"/>
          <w:szCs w:val="24"/>
          <w:bdr w:val="none" w:color="auto" w:sz="0" w:space="0"/>
          <w:lang w:val="en-US" w:eastAsia="zh-CN" w:bidi="ar"/>
        </w:rPr>
      </w:pPr>
      <w:r>
        <w:rPr>
          <w:rFonts w:hint="default" w:ascii="Arial" w:hAnsi="Arial" w:eastAsia="宋体" w:cs="Arial"/>
          <w:color w:val="000000"/>
          <w:kern w:val="0"/>
          <w:sz w:val="24"/>
          <w:szCs w:val="24"/>
          <w:bdr w:val="none" w:color="auto" w:sz="0" w:space="0"/>
          <w:lang w:val="en-US" w:eastAsia="zh-CN" w:bidi="ar"/>
        </w:rPr>
        <w:t xml:space="preserve">Generally compatible with esters, ether esters, xylene, and Naphtha No.100. Test solubility and compatibility for each solvent. </w:t>
      </w:r>
      <w:r>
        <w:rPr>
          <w:rFonts w:hint="default" w:ascii="Arial" w:hAnsi="Arial" w:eastAsia="宋体" w:cs="Arial"/>
          <w:color w:val="000000"/>
          <w:kern w:val="0"/>
          <w:sz w:val="24"/>
          <w:szCs w:val="24"/>
          <w:lang w:val="en-US" w:eastAsia="zh-CN" w:bidi="ar"/>
        </w:rPr>
        <w:t>Only urethane-grade solvents are allowed. Water content must not exceed 0.05%</w:t>
      </w:r>
      <w:r>
        <w:rPr>
          <w:rFonts w:hint="default" w:ascii="Arial" w:hAnsi="Arial" w:eastAsia="宋体" w:cs="Arial"/>
          <w:color w:val="000000"/>
          <w:kern w:val="0"/>
          <w:sz w:val="24"/>
          <w:szCs w:val="24"/>
          <w:bdr w:val="none" w:color="auto" w:sz="0" w:space="0"/>
          <w:lang w:val="en-US" w:eastAsia="zh-CN" w:bidi="ar"/>
        </w:rPr>
        <w:t>.</w:t>
      </w:r>
    </w:p>
    <w:p w14:paraId="00ABB2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bdr w:val="none" w:color="auto" w:sz="0" w:space="0"/>
          <w:lang w:val="en-US" w:eastAsia="zh-CN" w:bidi="ar"/>
        </w:rPr>
      </w:pPr>
    </w:p>
    <w:p w14:paraId="33ADD2D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Properties / Applications</w:t>
      </w:r>
    </w:p>
    <w:p w14:paraId="0A7E90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A crosslinker suitable for waterborne systems requiring good bond stability and chemical resistance. Despite moderate hydrophilicity, it emulsifies readily in water even under low shear common in industry. Coatings formulated with this product produce high-gloss, low-haze films.</w:t>
      </w:r>
    </w:p>
    <w:p w14:paraId="078675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eastAsia="宋体" w:cs="Arial"/>
          <w:color w:val="000000"/>
          <w:kern w:val="0"/>
          <w:sz w:val="24"/>
          <w:szCs w:val="24"/>
          <w:bdr w:val="none" w:color="auto" w:sz="0" w:space="0"/>
          <w:lang w:val="en-US" w:eastAsia="zh-CN" w:bidi="ar"/>
        </w:rPr>
      </w:pPr>
      <w:r>
        <w:rPr>
          <w:rFonts w:hint="default" w:ascii="Arial" w:hAnsi="Arial" w:eastAsia="宋体" w:cs="Arial"/>
          <w:color w:val="000000"/>
          <w:kern w:val="0"/>
          <w:sz w:val="24"/>
          <w:szCs w:val="24"/>
          <w:bdr w:val="none" w:color="auto" w:sz="0" w:space="0"/>
          <w:lang w:val="en-US" w:eastAsia="zh-CN" w:bidi="ar"/>
        </w:rPr>
        <w:t>When mixed with hydrophilic curing agents (especially ionic hydrophilic polyol dispersions), pre-dilute with water or add small amounts of organic co-solvents to control viscosity rise. Balanced moderate hydrophilicity and high functionality enable fast drying and rapid hardening of waterborne two-component polyurethane coatings, delivering high final hardness and excellent chemical resistance.</w:t>
      </w:r>
    </w:p>
    <w:p w14:paraId="1DA324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bdr w:val="none" w:color="auto" w:sz="0" w:space="0"/>
          <w:lang w:val="en-US" w:eastAsia="zh-CN" w:bidi="ar"/>
        </w:rPr>
      </w:pPr>
    </w:p>
    <w:p w14:paraId="1A254DD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Storage</w:t>
      </w:r>
    </w:p>
    <w:p w14:paraId="58D5A61F">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Store in a dark, cool, dry place at 5–35℃; keep sealed and intact.</w:t>
      </w:r>
    </w:p>
    <w:p w14:paraId="58816494">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Shelf life: 12 months from production date. Evaluate performance before use if expired.</w:t>
      </w:r>
    </w:p>
    <w:p w14:paraId="65442FEA">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Protect from freezing. Water-dispersible isocyanate curing agents are highly sensitive to moisture; reaction with water produces CO₂ and urea, which may pressurize the container and cause hazards.</w:t>
      </w:r>
    </w:p>
    <w:p w14:paraId="1B75742F">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Keep containers tightly sealed to prevent moisture ingress. Use promptly after opening.</w:t>
      </w:r>
    </w:p>
    <w:p w14:paraId="63F4472F">
      <w:pPr>
        <w:numPr>
          <w:ilvl w:val="0"/>
          <w:numId w:val="0"/>
        </w:numPr>
        <w:tabs>
          <w:tab w:val="left" w:pos="720"/>
          <w:tab w:val="left" w:pos="1980"/>
        </w:tabs>
        <w:spacing w:line="360" w:lineRule="auto"/>
        <w:ind w:firstLine="464" w:firstLineChars="200"/>
        <w:rPr>
          <w:rFonts w:hint="default" w:ascii="Arial" w:hAnsi="Arial" w:eastAsia="微软雅黑" w:cs="Arial"/>
          <w:spacing w:val="-4"/>
          <w:sz w:val="24"/>
        </w:rPr>
      </w:pPr>
    </w:p>
    <w:tbl>
      <w:tblPr>
        <w:tblStyle w:val="7"/>
        <w:tblW w:w="0" w:type="auto"/>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9"/>
      </w:tblGrid>
      <w:tr w14:paraId="32F9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9" w:type="dxa"/>
            <w:tcBorders>
              <w:left w:val="nil"/>
              <w:right w:val="nil"/>
            </w:tcBorders>
          </w:tcPr>
          <w:p w14:paraId="2D5BB9F5">
            <w:pPr>
              <w:keepNext w:val="0"/>
              <w:keepLines w:val="0"/>
              <w:pageBreakBefore w:val="0"/>
              <w:widowControl w:val="0"/>
              <w:tabs>
                <w:tab w:val="left" w:pos="720"/>
                <w:tab w:val="left" w:pos="1980"/>
              </w:tabs>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spacing w:val="-4"/>
                <w:sz w:val="24"/>
              </w:rPr>
            </w:pPr>
            <w:r>
              <w:rPr>
                <w:rFonts w:hint="default" w:ascii="Arial" w:hAnsi="Arial" w:eastAsia="宋体" w:cs="Arial"/>
                <w:sz w:val="24"/>
                <w:szCs w:val="24"/>
              </w:rPr>
              <w:t>Prolonged storage at low temperatures may cause irreversible damage. Keep containers sealed; otherwise, water evaporation forms an insoluble polymer film on the surface.</w:t>
            </w:r>
          </w:p>
        </w:tc>
      </w:tr>
    </w:tbl>
    <w:p w14:paraId="69596044">
      <w:pPr>
        <w:spacing w:line="360" w:lineRule="auto"/>
        <w:rPr>
          <w:rFonts w:hint="default" w:ascii="Arial" w:hAnsi="Arial" w:eastAsia="微软雅黑" w:cs="Arial"/>
          <w:b/>
          <w:bCs/>
          <w:sz w:val="28"/>
          <w:szCs w:val="28"/>
        </w:rPr>
      </w:pPr>
    </w:p>
    <w:p w14:paraId="520045C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Shelf Life</w:t>
      </w:r>
    </w:p>
    <w:p w14:paraId="3FBF1B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Use within 12 months from production date.</w:t>
      </w:r>
      <w:bookmarkStart w:id="0" w:name="_GoBack"/>
      <w:bookmarkEnd w:id="0"/>
    </w:p>
    <w:p w14:paraId="6666CE2E">
      <w:pPr>
        <w:tabs>
          <w:tab w:val="left" w:pos="720"/>
          <w:tab w:val="left" w:pos="1980"/>
        </w:tabs>
        <w:spacing w:line="360" w:lineRule="auto"/>
        <w:ind w:firstLine="464" w:firstLineChars="200"/>
        <w:rPr>
          <w:rFonts w:hint="default" w:ascii="Arial" w:hAnsi="Arial" w:eastAsia="微软雅黑" w:cs="Arial"/>
          <w:spacing w:val="-4"/>
          <w:sz w:val="24"/>
        </w:rPr>
      </w:pPr>
    </w:p>
    <w:p w14:paraId="7A284BD9">
      <w:pPr>
        <w:rPr>
          <w:rFonts w:hint="default" w:ascii="Arial" w:hAnsi="Arial" w:cs="Arial"/>
          <w:sz w:val="18"/>
          <w:szCs w:val="21"/>
        </w:rPr>
      </w:pPr>
    </w:p>
    <w:tbl>
      <w:tblPr>
        <w:tblStyle w:val="7"/>
        <w:tblpPr w:leftFromText="180" w:rightFromText="180" w:vertAnchor="text" w:horzAnchor="page" w:tblpX="1595" w:tblpY="24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37"/>
      </w:tblGrid>
      <w:tr w14:paraId="0B04B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9137" w:type="dxa"/>
            <w:tcBorders>
              <w:left w:val="nil"/>
              <w:bottom w:val="nil"/>
              <w:right w:val="nil"/>
            </w:tcBorders>
          </w:tcPr>
          <w:p w14:paraId="2501ABC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黑体" w:cs="Arial"/>
                <w:szCs w:val="21"/>
              </w:rPr>
            </w:pPr>
            <w:r>
              <w:rPr>
                <w:rFonts w:hint="default" w:ascii="Arial" w:hAnsi="Arial" w:eastAsia="宋体" w:cs="Arial"/>
                <w:sz w:val="24"/>
                <w:szCs w:val="24"/>
              </w:rPr>
              <w:t>Expiration of the 12-month shelf life does not mean the product is out of specification. Test before use to verify compliance with specifications and technical parameters.</w:t>
            </w:r>
          </w:p>
        </w:tc>
      </w:tr>
    </w:tbl>
    <w:p w14:paraId="754A4F1F">
      <w:pPr>
        <w:rPr>
          <w:rFonts w:hint="default" w:ascii="Arial" w:hAnsi="Arial" w:cs="Arial"/>
        </w:rPr>
      </w:pPr>
    </w:p>
    <w:p w14:paraId="1AC159A9">
      <w:pPr>
        <w:rPr>
          <w:rFonts w:hint="default" w:ascii="Arial" w:hAnsi="Arial" w:cs="Arial"/>
        </w:rPr>
      </w:pPr>
    </w:p>
    <w:p w14:paraId="6C31DB1D">
      <w:pPr>
        <w:rPr>
          <w:rFonts w:hint="default" w:ascii="Arial" w:hAnsi="Arial" w:cs="Arial"/>
        </w:rPr>
      </w:pPr>
    </w:p>
    <w:p w14:paraId="0605B50F">
      <w:pPr>
        <w:rPr>
          <w:rFonts w:hint="default" w:ascii="Arial" w:hAnsi="Arial" w:cs="Arial"/>
        </w:rPr>
      </w:pPr>
    </w:p>
    <w:p w14:paraId="6F53089A">
      <w:pPr>
        <w:rPr>
          <w:rFonts w:hint="default" w:ascii="Arial" w:hAnsi="Arial" w:cs="Arial"/>
        </w:rPr>
      </w:pPr>
    </w:p>
    <w:p w14:paraId="1ABDD576">
      <w:pPr>
        <w:rPr>
          <w:rFonts w:hint="default" w:ascii="Arial" w:hAnsi="Arial" w:cs="Arial"/>
        </w:rPr>
      </w:pPr>
    </w:p>
    <w:p w14:paraId="77A34B8E">
      <w:pPr>
        <w:rPr>
          <w:rFonts w:hint="default" w:ascii="Arial" w:hAnsi="Arial" w:cs="Arial"/>
        </w:rPr>
      </w:pPr>
    </w:p>
    <w:p w14:paraId="38184D7D">
      <w:pPr>
        <w:rPr>
          <w:rFonts w:hint="default" w:ascii="Arial" w:hAnsi="Arial" w:cs="Arial"/>
        </w:rPr>
      </w:pPr>
    </w:p>
    <w:p w14:paraId="16E8FAD4">
      <w:pPr>
        <w:rPr>
          <w:rFonts w:hint="default" w:ascii="Arial" w:hAnsi="Arial" w:cs="Arial"/>
        </w:rPr>
      </w:pPr>
    </w:p>
    <w:p w14:paraId="447FE4A1">
      <w:pPr>
        <w:rPr>
          <w:rFonts w:hint="default" w:ascii="Arial" w:hAnsi="Arial" w:cs="Arial"/>
        </w:rPr>
      </w:pPr>
    </w:p>
    <w:p w14:paraId="19FC9564">
      <w:pPr>
        <w:rPr>
          <w:rFonts w:hint="default" w:ascii="Arial" w:hAnsi="Arial" w:cs="Arial"/>
        </w:rPr>
      </w:pPr>
    </w:p>
    <w:p w14:paraId="095C35E1">
      <w:pPr>
        <w:rPr>
          <w:rFonts w:hint="default" w:ascii="Arial" w:hAnsi="Arial" w:cs="Arial"/>
        </w:rPr>
      </w:pPr>
    </w:p>
    <w:p w14:paraId="656CECE3">
      <w:pPr>
        <w:rPr>
          <w:rFonts w:hint="default" w:ascii="Arial" w:hAnsi="Arial" w:cs="Arial"/>
        </w:rPr>
      </w:pPr>
    </w:p>
    <w:p w14:paraId="11C6D470">
      <w:pPr>
        <w:rPr>
          <w:rFonts w:hint="default" w:ascii="Arial" w:hAnsi="Arial" w:cs="Arial"/>
        </w:rPr>
      </w:pPr>
    </w:p>
    <w:p w14:paraId="5526BCEB">
      <w:pPr>
        <w:rPr>
          <w:rFonts w:hint="default" w:ascii="Arial" w:hAnsi="Arial" w:cs="Arial"/>
        </w:rPr>
      </w:pPr>
    </w:p>
    <w:p w14:paraId="297888E8">
      <w:pPr>
        <w:rPr>
          <w:rFonts w:hint="default" w:ascii="Arial" w:hAnsi="Arial" w:cs="Arial"/>
        </w:rPr>
      </w:pPr>
    </w:p>
    <w:p w14:paraId="034674CE">
      <w:pPr>
        <w:rPr>
          <w:rFonts w:hint="default" w:ascii="Arial" w:hAnsi="Arial" w:cs="Arial"/>
        </w:rPr>
      </w:pPr>
    </w:p>
    <w:p w14:paraId="6E2A90F3">
      <w:pPr>
        <w:rPr>
          <w:rFonts w:hint="default" w:ascii="Arial" w:hAnsi="Arial" w:cs="Arial"/>
        </w:rPr>
      </w:pPr>
    </w:p>
    <w:p w14:paraId="4FCF0B22">
      <w:pPr>
        <w:rPr>
          <w:rFonts w:hint="default" w:ascii="Arial" w:hAnsi="Arial" w:cs="Arial"/>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79E4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2EEA9F0C">
            <w:pPr>
              <w:spacing w:line="360" w:lineRule="auto"/>
              <w:ind w:firstLine="480" w:firstLineChars="200"/>
              <w:rPr>
                <w:rFonts w:hint="default" w:ascii="Arial" w:hAnsi="Arial" w:eastAsia="微软雅黑" w:cs="Arial"/>
                <w:b/>
                <w:bCs/>
                <w:sz w:val="24"/>
              </w:rPr>
            </w:pPr>
            <w:r>
              <w:rPr>
                <w:rFonts w:hint="default" w:ascii="Arial" w:hAnsi="Arial" w:eastAsia="宋体" w:cs="Arial"/>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76F41745">
      <w:pPr>
        <w:rPr>
          <w:rFonts w:hint="default" w:ascii="Arial" w:hAnsi="Arial" w:cs="Arial"/>
        </w:rPr>
      </w:pPr>
    </w:p>
    <w:sectPr>
      <w:headerReference r:id="rId4" w:type="first"/>
      <w:footerReference r:id="rId6" w:type="first"/>
      <w:headerReference r:id="rId3" w:type="default"/>
      <w:footerReference r:id="rId5" w:type="default"/>
      <w:pgSz w:w="11906" w:h="16838"/>
      <w:pgMar w:top="850" w:right="1417" w:bottom="850" w:left="1417" w:header="851" w:footer="510"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A59FE">
    <w:pPr>
      <w:jc w:val="right"/>
      <w:rPr>
        <w:rFonts w:hint="eastAsia" w:ascii="微软雅黑" w:hAnsi="微软雅黑" w:eastAsia="微软雅黑" w:cs="微软雅黑"/>
        <w:szCs w:val="21"/>
      </w:rPr>
    </w:pPr>
    <w:r>
      <mc:AlternateContent>
        <mc:Choice Requires="wps">
          <w:drawing>
            <wp:anchor distT="0" distB="0" distL="114300" distR="114300" simplePos="0" relativeHeight="251663360"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703209">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3360;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06703209">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r>
      <w:rPr>
        <w:rFonts w:ascii="微软雅黑" w:hAnsi="微软雅黑" w:eastAsia="微软雅黑" w:cs="微软雅黑"/>
        <w:szCs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91CBA4">
                          <w:pPr>
                            <w:snapToGrid w:val="0"/>
                            <w:rPr>
                              <w:rFonts w:eastAsiaTheme="minorEastAsia"/>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Scb8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yUnG/KwIAAFcEAAAOAAAAAAAAAAEAIAAAAB8BAABkcnMvZTJvRG9jLnhtbFBLBQYAAAAABgAG&#10;AFkBAAC8BQAAAAA=&#10;">
              <v:fill on="f" focussize="0,0"/>
              <v:stroke on="f" weight="0.5pt"/>
              <v:imagedata o:title=""/>
              <o:lock v:ext="edit" aspectratio="f"/>
              <v:textbox inset="0mm,0mm,0mm,0mm" style="mso-fit-shape-to-text:t;">
                <w:txbxContent>
                  <w:p w14:paraId="3391CBA4">
                    <w:pPr>
                      <w:snapToGrid w:val="0"/>
                      <w:rPr>
                        <w:rFonts w:eastAsiaTheme="minorEastAsia"/>
                        <w:sz w:val="18"/>
                      </w:rPr>
                    </w:pPr>
                  </w:p>
                </w:txbxContent>
              </v:textbox>
            </v:shape>
          </w:pict>
        </mc:Fallback>
      </mc:AlternateContent>
    </w:r>
    <w:r>
      <w:rPr>
        <w:rFonts w:hint="eastAsia" w:ascii="微软雅黑" w:hAnsi="微软雅黑" w:eastAsia="微软雅黑" w:cs="微软雅黑"/>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E94FC">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29073E">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5F29073E">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31B65">
    <w:pPr>
      <w:pStyle w:val="5"/>
      <w:rPr>
        <w:sz w:val="10"/>
        <w:szCs w:val="10"/>
      </w:rPr>
    </w:pPr>
    <w:r>
      <w:rPr>
        <w:sz w:val="10"/>
      </w:rPr>
      <mc:AlternateContent>
        <mc:Choice Requires="wps">
          <w:drawing>
            <wp:anchor distT="0" distB="0" distL="114300" distR="114300" simplePos="0" relativeHeight="251662336" behindDoc="0" locked="0" layoutInCell="1" allowOverlap="1">
              <wp:simplePos x="0" y="0"/>
              <wp:positionH relativeFrom="column">
                <wp:posOffset>3903980</wp:posOffset>
              </wp:positionH>
              <wp:positionV relativeFrom="paragraph">
                <wp:posOffset>44450</wp:posOffset>
              </wp:positionV>
              <wp:extent cx="1828800" cy="47053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4705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37776D">
                          <w:pPr>
                            <w:rPr>
                              <w:rFonts w:hint="eastAsia" w:ascii="微软雅黑" w:hAnsi="微软雅黑" w:eastAsia="微软雅黑" w:cs="微软雅黑"/>
                              <w:b/>
                              <w:bCs/>
                              <w:color w:val="00A2E9"/>
                              <w:sz w:val="24"/>
                              <w:szCs w:val="24"/>
                              <w14:shadow w14:blurRad="38100" w14:dist="19050" w14:dir="2700000" w14:sx="100000" w14:sy="100000" w14:kx="0" w14:ky="0" w14:algn="tl">
                                <w14:schemeClr w14:val="dk1">
                                  <w14:alpha w14:val="60000"/>
                                </w14:schemeClr>
                              </w14:shadow>
                            </w:rPr>
                          </w:pPr>
                          <w:r>
                            <w:rPr>
                              <w:rFonts w:hint="eastAsia" w:ascii="微软雅黑" w:hAnsi="微软雅黑" w:eastAsia="微软雅黑" w:cs="微软雅黑"/>
                              <w:b/>
                              <w:bCs/>
                              <w:color w:val="00A2E9"/>
                              <w:sz w:val="28"/>
                              <w:szCs w:val="28"/>
                              <w14:shadow w14:blurRad="38100" w14:dist="19050" w14:dir="2700000" w14:sx="100000" w14:sy="100000" w14:kx="0" w14:ky="0" w14:algn="tl">
                                <w14:schemeClr w14:val="dk1">
                                  <w14:alpha w14:val="60000"/>
                                </w14:schemeClr>
                              </w14:shadow>
                            </w:rPr>
                            <w:t>Waterborne Curing Agent</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7.4pt;margin-top:3.5pt;height:37.05pt;width:144pt;mso-wrap-style:none;z-index:251662336;mso-width-relative:page;mso-height-relative:page;" filled="f" stroked="f" coordsize="21600,21600" o:gfxdata="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MbHbGnZAAAACAEAAA8AAAAAAAAAAQAgAAAAIgAAAGRycy9k&#10;b3ducmV2LnhtbFBLAQIUABQAAAAIAIdO4kB0QUNcOgIAAGQEAAAOAAAAAAAAAAEAIAAAACgBAABk&#10;cnMvZTJvRG9jLnhtbFBLBQYAAAAABgAGAFkBAADUBQAAAAA=&#10;">
              <v:fill on="f" focussize="0,0"/>
              <v:stroke on="f" weight="0.5pt"/>
              <v:imagedata o:title=""/>
              <o:lock v:ext="edit" aspectratio="f"/>
              <v:textbox>
                <w:txbxContent>
                  <w:p w14:paraId="0A37776D">
                    <w:pPr>
                      <w:rPr>
                        <w:rFonts w:hint="eastAsia" w:ascii="微软雅黑" w:hAnsi="微软雅黑" w:eastAsia="微软雅黑" w:cs="微软雅黑"/>
                        <w:b/>
                        <w:bCs/>
                        <w:color w:val="00A2E9"/>
                        <w:sz w:val="24"/>
                        <w:szCs w:val="24"/>
                        <w14:shadow w14:blurRad="38100" w14:dist="19050" w14:dir="2700000" w14:sx="100000" w14:sy="100000" w14:kx="0" w14:ky="0" w14:algn="tl">
                          <w14:schemeClr w14:val="dk1">
                            <w14:alpha w14:val="60000"/>
                          </w14:schemeClr>
                        </w14:shadow>
                      </w:rPr>
                    </w:pPr>
                    <w:r>
                      <w:rPr>
                        <w:rFonts w:hint="eastAsia" w:ascii="微软雅黑" w:hAnsi="微软雅黑" w:eastAsia="微软雅黑" w:cs="微软雅黑"/>
                        <w:b/>
                        <w:bCs/>
                        <w:color w:val="00A2E9"/>
                        <w:sz w:val="28"/>
                        <w:szCs w:val="28"/>
                        <w14:shadow w14:blurRad="38100" w14:dist="19050" w14:dir="2700000" w14:sx="100000" w14:sy="100000" w14:kx="0" w14:ky="0" w14:algn="tl">
                          <w14:schemeClr w14:val="dk1">
                            <w14:alpha w14:val="60000"/>
                          </w14:schemeClr>
                        </w14:shadow>
                      </w:rPr>
                      <w:t>Waterborne Curing Agent</w:t>
                    </w:r>
                  </w:p>
                </w:txbxContent>
              </v:textbox>
            </v:shape>
          </w:pict>
        </mc:Fallback>
      </mc:AlternateContent>
    </w:r>
    <w:r>
      <w:rPr>
        <w:sz w:val="10"/>
      </w:rPr>
      <mc:AlternateContent>
        <mc:Choice Requires="wps">
          <w:drawing>
            <wp:anchor distT="0" distB="0" distL="114300" distR="114300" simplePos="0" relativeHeight="251661312" behindDoc="0" locked="0" layoutInCell="1" allowOverlap="1">
              <wp:simplePos x="0" y="0"/>
              <wp:positionH relativeFrom="column">
                <wp:posOffset>4480560</wp:posOffset>
              </wp:positionH>
              <wp:positionV relativeFrom="paragraph">
                <wp:posOffset>-367665</wp:posOffset>
              </wp:positionV>
              <wp:extent cx="1600200"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600200"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073BA0">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CR-G120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2.8pt;margin-top:-28.95pt;height:48.75pt;width:126pt;z-index:251661312;mso-width-relative:page;mso-height-relative:page;" filled="f" stroked="f" coordsize="21600,21600" o:gfxdata="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6+FIktsAAAAKAQAADwAAAAAAAAABACAAAAAiAAAAZHJz&#10;L2Rvd25yZXYueG1sUEsBAhQAFAAAAAgAh07iQJqicc86AgAAZgQAAA4AAAAAAAAAAQAgAAAAKgEA&#10;AGRycy9lMm9Eb2MueG1sUEsFBgAAAAAGAAYAWQEAANYFAAAAAA==&#10;">
              <v:fill on="f" focussize="0,0"/>
              <v:stroke on="f" weight="0.5pt"/>
              <v:imagedata o:title=""/>
              <o:lock v:ext="edit" aspectratio="f"/>
              <v:textbox>
                <w:txbxContent>
                  <w:p w14:paraId="78073BA0">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CR-G120</w:t>
                    </w:r>
                  </w:p>
                </w:txbxContent>
              </v:textbox>
            </v:shape>
          </w:pict>
        </mc:Fallback>
      </mc:AlternateContent>
    </w:r>
    <w:r>
      <w:rPr>
        <w:rFonts w:ascii="微软雅黑" w:hAnsi="微软雅黑" w:eastAsia="微软雅黑" w:cs="微软雅黑"/>
        <w:szCs w:val="21"/>
      </w:rPr>
      <w:drawing>
        <wp:anchor distT="0" distB="0" distL="114300" distR="114300" simplePos="0" relativeHeight="251665408" behindDoc="0" locked="0" layoutInCell="1" allowOverlap="1">
          <wp:simplePos x="0" y="0"/>
          <wp:positionH relativeFrom="column">
            <wp:posOffset>760095</wp:posOffset>
          </wp:positionH>
          <wp:positionV relativeFrom="paragraph">
            <wp:posOffset>-3810</wp:posOffset>
          </wp:positionV>
          <wp:extent cx="2828925" cy="457200"/>
          <wp:effectExtent l="0" t="0" r="9525" b="0"/>
          <wp:wrapNone/>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1"/>
                  <a:stretch>
                    <a:fillRect/>
                  </a:stretch>
                </pic:blipFill>
                <pic:spPr>
                  <a:xfrm>
                    <a:off x="0" y="0"/>
                    <a:ext cx="2828925" cy="457200"/>
                  </a:xfrm>
                  <a:prstGeom prst="rect">
                    <a:avLst/>
                  </a:prstGeom>
                </pic:spPr>
              </pic:pic>
            </a:graphicData>
          </a:graphic>
        </wp:anchor>
      </w:drawing>
    </w:r>
    <w:r>
      <w:rPr>
        <w:sz w:val="10"/>
        <w:szCs w:val="10"/>
      </w:rPr>
      <w:drawing>
        <wp:anchor distT="0" distB="0" distL="114300" distR="114300" simplePos="0" relativeHeight="251664384" behindDoc="0" locked="0" layoutInCell="1" allowOverlap="1">
          <wp:simplePos x="0" y="0"/>
          <wp:positionH relativeFrom="margin">
            <wp:posOffset>-133985</wp:posOffset>
          </wp:positionH>
          <wp:positionV relativeFrom="paragraph">
            <wp:posOffset>-405765</wp:posOffset>
          </wp:positionV>
          <wp:extent cx="773430" cy="877570"/>
          <wp:effectExtent l="0" t="0" r="7620" b="0"/>
          <wp:wrapNone/>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2"/>
                  <a:stretch>
                    <a:fillRect/>
                  </a:stretch>
                </pic:blipFill>
                <pic:spPr>
                  <a:xfrm>
                    <a:off x="0" y="0"/>
                    <a:ext cx="773723" cy="877624"/>
                  </a:xfrm>
                  <a:prstGeom prst="rect">
                    <a:avLst/>
                  </a:prstGeom>
                </pic:spPr>
              </pic:pic>
            </a:graphicData>
          </a:graphic>
        </wp:anchor>
      </w:drawing>
    </w:r>
  </w:p>
  <w:p w14:paraId="150EB8CD">
    <w:pPr>
      <w:pStyle w:val="5"/>
      <w:rPr>
        <w:sz w:val="10"/>
        <w:szCs w:val="10"/>
      </w:rPr>
    </w:pPr>
    <w:r>
      <w:rPr>
        <w:rFonts w:hint="eastAsia"/>
        <w:sz w:val="10"/>
        <w:szCs w:val="10"/>
      </w:rPr>
      <w:t xml:space="preserve"> </w:t>
    </w:r>
  </w:p>
  <w:p w14:paraId="6923BE75">
    <w:pPr>
      <w:pStyle w:val="5"/>
      <w:rPr>
        <w:sz w:val="10"/>
        <w:szCs w:val="10"/>
      </w:rPr>
    </w:pPr>
  </w:p>
  <w:p w14:paraId="2FC8674C">
    <w:pPr>
      <w:pStyle w:val="5"/>
      <w:rPr>
        <w:sz w:val="10"/>
        <w:szCs w:val="10"/>
      </w:rPr>
    </w:pPr>
  </w:p>
  <w:p w14:paraId="5CAEBD56">
    <w:pPr>
      <w:pStyle w:val="5"/>
      <w:rPr>
        <w:sz w:val="10"/>
        <w:szCs w:val="10"/>
      </w:rPr>
    </w:pPr>
  </w:p>
  <w:p w14:paraId="124F417B">
    <w:pPr>
      <w:pStyle w:val="5"/>
      <w:rPr>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CBE5A">
    <w:pPr>
      <w:pStyle w:val="5"/>
    </w:pPr>
  </w:p>
  <w:p w14:paraId="525F5531">
    <w:pPr>
      <w:pStyle w:val="5"/>
    </w:pPr>
  </w:p>
  <w:p w14:paraId="2E54121E">
    <w:pPr>
      <w:pStyle w:val="5"/>
    </w:pPr>
  </w:p>
  <w:p w14:paraId="6A47D027">
    <w:pPr>
      <w:pStyle w:val="5"/>
    </w:pPr>
  </w:p>
  <w:p w14:paraId="60095E67">
    <w:pPr>
      <w:pStyle w:val="5"/>
    </w:pPr>
  </w:p>
  <w:p w14:paraId="62778762">
    <w:pPr>
      <w:pStyle w:val="5"/>
    </w:pPr>
  </w:p>
  <w:p w14:paraId="1E919F02">
    <w:pPr>
      <w:pStyle w:val="5"/>
    </w:pPr>
  </w:p>
  <w:p w14:paraId="538DD27D">
    <w:pPr>
      <w:pStyle w:val="5"/>
    </w:pPr>
  </w:p>
  <w:p w14:paraId="02D0D92F">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4CA4BD"/>
    <w:multiLevelType w:val="singleLevel"/>
    <w:tmpl w:val="AD4CA4BD"/>
    <w:lvl w:ilvl="0" w:tentative="0">
      <w:start w:val="1"/>
      <w:numFmt w:val="decimal"/>
      <w:lvlText w:val="%1."/>
      <w:lvlJc w:val="left"/>
      <w:pPr>
        <w:ind w:left="425" w:hanging="425"/>
      </w:pPr>
      <w:rPr>
        <w:rFonts w:hint="default"/>
      </w:rPr>
    </w:lvl>
  </w:abstractNum>
  <w:abstractNum w:abstractNumId="1">
    <w:nsid w:val="1F518365"/>
    <w:multiLevelType w:val="singleLevel"/>
    <w:tmpl w:val="1F51836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wNGMxNTYzNWNmZDhkMGY5NGY2MzU1NDNkNDEzMzQifQ=="/>
  </w:docVars>
  <w:rsids>
    <w:rsidRoot w:val="00DB2B16"/>
    <w:rsid w:val="00032776"/>
    <w:rsid w:val="0007712E"/>
    <w:rsid w:val="00136635"/>
    <w:rsid w:val="00156019"/>
    <w:rsid w:val="001706FD"/>
    <w:rsid w:val="00170CAC"/>
    <w:rsid w:val="001B2937"/>
    <w:rsid w:val="001F373F"/>
    <w:rsid w:val="0023712F"/>
    <w:rsid w:val="00245D54"/>
    <w:rsid w:val="00262931"/>
    <w:rsid w:val="002D0FCF"/>
    <w:rsid w:val="003550AC"/>
    <w:rsid w:val="00401138"/>
    <w:rsid w:val="00455912"/>
    <w:rsid w:val="00475A3A"/>
    <w:rsid w:val="00506991"/>
    <w:rsid w:val="005F52E0"/>
    <w:rsid w:val="0063567D"/>
    <w:rsid w:val="00705A9C"/>
    <w:rsid w:val="007207D3"/>
    <w:rsid w:val="008323E3"/>
    <w:rsid w:val="008E34BB"/>
    <w:rsid w:val="008F0270"/>
    <w:rsid w:val="009302A7"/>
    <w:rsid w:val="009A78B2"/>
    <w:rsid w:val="00A11607"/>
    <w:rsid w:val="00AC023E"/>
    <w:rsid w:val="00AD6646"/>
    <w:rsid w:val="00AD7615"/>
    <w:rsid w:val="00B940F0"/>
    <w:rsid w:val="00BE42AC"/>
    <w:rsid w:val="00C028FA"/>
    <w:rsid w:val="00C569B2"/>
    <w:rsid w:val="00C868DD"/>
    <w:rsid w:val="00DB2B16"/>
    <w:rsid w:val="00E03D28"/>
    <w:rsid w:val="00E6724C"/>
    <w:rsid w:val="00E8634F"/>
    <w:rsid w:val="00FC32CE"/>
    <w:rsid w:val="011078C7"/>
    <w:rsid w:val="016D6AC7"/>
    <w:rsid w:val="0183453D"/>
    <w:rsid w:val="01CC1A40"/>
    <w:rsid w:val="02442FC2"/>
    <w:rsid w:val="02A824AD"/>
    <w:rsid w:val="02FE3E7B"/>
    <w:rsid w:val="03100052"/>
    <w:rsid w:val="04A94C9E"/>
    <w:rsid w:val="04AE7B23"/>
    <w:rsid w:val="052B4CCF"/>
    <w:rsid w:val="064C714F"/>
    <w:rsid w:val="06D931EF"/>
    <w:rsid w:val="070F7027"/>
    <w:rsid w:val="07941252"/>
    <w:rsid w:val="07C140EA"/>
    <w:rsid w:val="08071A24"/>
    <w:rsid w:val="0854453D"/>
    <w:rsid w:val="085731EC"/>
    <w:rsid w:val="09AA6B0A"/>
    <w:rsid w:val="09C007EB"/>
    <w:rsid w:val="09CB6A81"/>
    <w:rsid w:val="0AC459AA"/>
    <w:rsid w:val="0B8F4175"/>
    <w:rsid w:val="0BC1292A"/>
    <w:rsid w:val="0C0C50ED"/>
    <w:rsid w:val="0C230DF6"/>
    <w:rsid w:val="0CAF6706"/>
    <w:rsid w:val="0D054058"/>
    <w:rsid w:val="0E461615"/>
    <w:rsid w:val="0E4A2063"/>
    <w:rsid w:val="0E6E541F"/>
    <w:rsid w:val="0F316173"/>
    <w:rsid w:val="0F622D6C"/>
    <w:rsid w:val="0F7E1B5D"/>
    <w:rsid w:val="0F7E29D8"/>
    <w:rsid w:val="0FEE3829"/>
    <w:rsid w:val="10022AD1"/>
    <w:rsid w:val="103C4234"/>
    <w:rsid w:val="111904EE"/>
    <w:rsid w:val="112B531D"/>
    <w:rsid w:val="11D64215"/>
    <w:rsid w:val="13174AE5"/>
    <w:rsid w:val="13847EF8"/>
    <w:rsid w:val="14416510"/>
    <w:rsid w:val="145B0209"/>
    <w:rsid w:val="151C4634"/>
    <w:rsid w:val="156364B0"/>
    <w:rsid w:val="158E3DE7"/>
    <w:rsid w:val="163A2FC4"/>
    <w:rsid w:val="16D01B7A"/>
    <w:rsid w:val="177D4274"/>
    <w:rsid w:val="19145D4E"/>
    <w:rsid w:val="198D78AF"/>
    <w:rsid w:val="1AA03FCF"/>
    <w:rsid w:val="1AB9480C"/>
    <w:rsid w:val="1AD1412F"/>
    <w:rsid w:val="1B1E1106"/>
    <w:rsid w:val="1B8227E1"/>
    <w:rsid w:val="1BAA4748"/>
    <w:rsid w:val="1C0C4A0C"/>
    <w:rsid w:val="1C8C03D3"/>
    <w:rsid w:val="1C984EE8"/>
    <w:rsid w:val="1CBB7F06"/>
    <w:rsid w:val="1D831216"/>
    <w:rsid w:val="1D8754F8"/>
    <w:rsid w:val="1E1B192D"/>
    <w:rsid w:val="1E5313D0"/>
    <w:rsid w:val="1EBB6C6C"/>
    <w:rsid w:val="1EE241F9"/>
    <w:rsid w:val="1EF9624C"/>
    <w:rsid w:val="1F175729"/>
    <w:rsid w:val="1F244168"/>
    <w:rsid w:val="20AE6A88"/>
    <w:rsid w:val="223C359F"/>
    <w:rsid w:val="22C84AC3"/>
    <w:rsid w:val="22F1664C"/>
    <w:rsid w:val="23025F7A"/>
    <w:rsid w:val="233D0598"/>
    <w:rsid w:val="23B51EDC"/>
    <w:rsid w:val="24173588"/>
    <w:rsid w:val="24414A2E"/>
    <w:rsid w:val="24CD36D8"/>
    <w:rsid w:val="24D764A3"/>
    <w:rsid w:val="25212C68"/>
    <w:rsid w:val="255B2F57"/>
    <w:rsid w:val="256E5E50"/>
    <w:rsid w:val="257D6812"/>
    <w:rsid w:val="25F969F8"/>
    <w:rsid w:val="26232D49"/>
    <w:rsid w:val="266A3ED9"/>
    <w:rsid w:val="27F67809"/>
    <w:rsid w:val="285B5212"/>
    <w:rsid w:val="289366BF"/>
    <w:rsid w:val="28D249F8"/>
    <w:rsid w:val="28DC7F0B"/>
    <w:rsid w:val="290556B4"/>
    <w:rsid w:val="29204D7A"/>
    <w:rsid w:val="29FE3870"/>
    <w:rsid w:val="2A2A637C"/>
    <w:rsid w:val="2A706411"/>
    <w:rsid w:val="2AFD21C9"/>
    <w:rsid w:val="2D0619FA"/>
    <w:rsid w:val="2D534BA2"/>
    <w:rsid w:val="2DBA1DF2"/>
    <w:rsid w:val="2E0B376C"/>
    <w:rsid w:val="2EEB0EA8"/>
    <w:rsid w:val="2F8C6D98"/>
    <w:rsid w:val="304463CA"/>
    <w:rsid w:val="30954A7B"/>
    <w:rsid w:val="30AE3614"/>
    <w:rsid w:val="30D00C4A"/>
    <w:rsid w:val="31815D52"/>
    <w:rsid w:val="31F1602E"/>
    <w:rsid w:val="32123B36"/>
    <w:rsid w:val="329A50BF"/>
    <w:rsid w:val="32B617CD"/>
    <w:rsid w:val="3424477C"/>
    <w:rsid w:val="34B166F0"/>
    <w:rsid w:val="34C65B5C"/>
    <w:rsid w:val="34CF6B76"/>
    <w:rsid w:val="3538471B"/>
    <w:rsid w:val="358F0212"/>
    <w:rsid w:val="362F0630"/>
    <w:rsid w:val="366B0946"/>
    <w:rsid w:val="377356FF"/>
    <w:rsid w:val="37B02520"/>
    <w:rsid w:val="37B5307D"/>
    <w:rsid w:val="37CA4590"/>
    <w:rsid w:val="38B247E4"/>
    <w:rsid w:val="39980E9A"/>
    <w:rsid w:val="3B1B42C7"/>
    <w:rsid w:val="3B6C76A7"/>
    <w:rsid w:val="3BBD3BCC"/>
    <w:rsid w:val="3BE63123"/>
    <w:rsid w:val="3BF1545C"/>
    <w:rsid w:val="3BFC46F4"/>
    <w:rsid w:val="3C315451"/>
    <w:rsid w:val="3C4B3342"/>
    <w:rsid w:val="3CC90F0B"/>
    <w:rsid w:val="3E2A0056"/>
    <w:rsid w:val="3E991ECF"/>
    <w:rsid w:val="3F032F8F"/>
    <w:rsid w:val="3F9453C0"/>
    <w:rsid w:val="3FD80FD4"/>
    <w:rsid w:val="40CA5FBF"/>
    <w:rsid w:val="41801923"/>
    <w:rsid w:val="41852ECE"/>
    <w:rsid w:val="42130A14"/>
    <w:rsid w:val="429833C7"/>
    <w:rsid w:val="43A917E1"/>
    <w:rsid w:val="43C156DA"/>
    <w:rsid w:val="44023B4A"/>
    <w:rsid w:val="44057542"/>
    <w:rsid w:val="44480717"/>
    <w:rsid w:val="44AC63E9"/>
    <w:rsid w:val="46226B63"/>
    <w:rsid w:val="46511CBF"/>
    <w:rsid w:val="46650534"/>
    <w:rsid w:val="47173CBF"/>
    <w:rsid w:val="47B265AF"/>
    <w:rsid w:val="48543647"/>
    <w:rsid w:val="48B33638"/>
    <w:rsid w:val="48CB55C6"/>
    <w:rsid w:val="49477D3A"/>
    <w:rsid w:val="49544966"/>
    <w:rsid w:val="49BB1EB8"/>
    <w:rsid w:val="4A8D4ABA"/>
    <w:rsid w:val="4AF061D5"/>
    <w:rsid w:val="4AFC57DE"/>
    <w:rsid w:val="4CC90623"/>
    <w:rsid w:val="4CCE6112"/>
    <w:rsid w:val="4D0A2F51"/>
    <w:rsid w:val="4E3844A7"/>
    <w:rsid w:val="4E454986"/>
    <w:rsid w:val="4EAF5A95"/>
    <w:rsid w:val="4EB805B5"/>
    <w:rsid w:val="4F3A16E7"/>
    <w:rsid w:val="506863A4"/>
    <w:rsid w:val="512377DF"/>
    <w:rsid w:val="5160707C"/>
    <w:rsid w:val="51F326E1"/>
    <w:rsid w:val="53625877"/>
    <w:rsid w:val="53F266B1"/>
    <w:rsid w:val="53FB3634"/>
    <w:rsid w:val="53FF5197"/>
    <w:rsid w:val="54781E35"/>
    <w:rsid w:val="550B73D9"/>
    <w:rsid w:val="568850AA"/>
    <w:rsid w:val="57783AA4"/>
    <w:rsid w:val="57BE68AA"/>
    <w:rsid w:val="58613E05"/>
    <w:rsid w:val="5886047F"/>
    <w:rsid w:val="58951D01"/>
    <w:rsid w:val="59975605"/>
    <w:rsid w:val="5A7C4F26"/>
    <w:rsid w:val="5C1827CF"/>
    <w:rsid w:val="5CAC0BE1"/>
    <w:rsid w:val="5D3E405D"/>
    <w:rsid w:val="5D4B0BE0"/>
    <w:rsid w:val="5D5C4B9B"/>
    <w:rsid w:val="5DA90B12"/>
    <w:rsid w:val="5E161FB4"/>
    <w:rsid w:val="5F897FFB"/>
    <w:rsid w:val="5F921216"/>
    <w:rsid w:val="600357A2"/>
    <w:rsid w:val="60896C0E"/>
    <w:rsid w:val="61AB4343"/>
    <w:rsid w:val="61D9780F"/>
    <w:rsid w:val="6223037D"/>
    <w:rsid w:val="62610BBD"/>
    <w:rsid w:val="6292369A"/>
    <w:rsid w:val="62F13FD7"/>
    <w:rsid w:val="63A9762F"/>
    <w:rsid w:val="642F7C07"/>
    <w:rsid w:val="64A01EB8"/>
    <w:rsid w:val="65A92947"/>
    <w:rsid w:val="665B0D53"/>
    <w:rsid w:val="66C646B1"/>
    <w:rsid w:val="67567154"/>
    <w:rsid w:val="67B051FD"/>
    <w:rsid w:val="6884276C"/>
    <w:rsid w:val="691A5E80"/>
    <w:rsid w:val="69230FC3"/>
    <w:rsid w:val="692B4588"/>
    <w:rsid w:val="699B6A4B"/>
    <w:rsid w:val="69A02C0D"/>
    <w:rsid w:val="6A0D509F"/>
    <w:rsid w:val="6A146B9D"/>
    <w:rsid w:val="6B2813E2"/>
    <w:rsid w:val="6B860750"/>
    <w:rsid w:val="6BA4668D"/>
    <w:rsid w:val="6C1333E3"/>
    <w:rsid w:val="6C554405"/>
    <w:rsid w:val="6CA67BE1"/>
    <w:rsid w:val="6CDE381F"/>
    <w:rsid w:val="6D5957F1"/>
    <w:rsid w:val="6DAA2E3C"/>
    <w:rsid w:val="6DBD689D"/>
    <w:rsid w:val="6E0A1258"/>
    <w:rsid w:val="6E114605"/>
    <w:rsid w:val="6E230A25"/>
    <w:rsid w:val="6E70494A"/>
    <w:rsid w:val="6E9D3265"/>
    <w:rsid w:val="6FAF4FFE"/>
    <w:rsid w:val="6FC1690D"/>
    <w:rsid w:val="6FDA5069"/>
    <w:rsid w:val="703B0F88"/>
    <w:rsid w:val="70AC59E2"/>
    <w:rsid w:val="71530C3F"/>
    <w:rsid w:val="716449CA"/>
    <w:rsid w:val="716A04B8"/>
    <w:rsid w:val="71FA7527"/>
    <w:rsid w:val="72BC63B0"/>
    <w:rsid w:val="73155AC0"/>
    <w:rsid w:val="73972979"/>
    <w:rsid w:val="760D074D"/>
    <w:rsid w:val="7683312E"/>
    <w:rsid w:val="76D57A40"/>
    <w:rsid w:val="76D67314"/>
    <w:rsid w:val="780313AD"/>
    <w:rsid w:val="786D102C"/>
    <w:rsid w:val="792064E4"/>
    <w:rsid w:val="793B4942"/>
    <w:rsid w:val="7997722F"/>
    <w:rsid w:val="79982FA7"/>
    <w:rsid w:val="7A6E32DC"/>
    <w:rsid w:val="7BA43E85"/>
    <w:rsid w:val="7BBB10DA"/>
    <w:rsid w:val="7C3D4373"/>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1050</Words>
  <Characters>1204</Characters>
  <Lines>74</Lines>
  <Paragraphs>55</Paragraphs>
  <TotalTime>20</TotalTime>
  <ScaleCrop>false</ScaleCrop>
  <LinksUpToDate>false</LinksUpToDate>
  <CharactersWithSpaces>1231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2024-06-28T04:11:00Z</dcterms:created>
  <dc:creator>Davis</dc:creator>
  <cp:lastModifiedBy>戴眼镜的麻杆。</cp:lastModifiedBy>
  <cp:lastPrinted>2024-07-19T03:02:00Z</cp:lastPrinted>
  <dcterms:modified xsi:type="dcterms:W3CDTF">2026-04-15T02:27:07Z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38D258D4DD3D4C3496FBC3D3649A7D42</vt:lpwstr>
  </property>
  <property fmtid="{D5CDD505-2E9C-101B-9397-08002B2CF9AE}" pid="4" name="KSOTemplateDocerSaveRecord">
    <vt:lpwstr>eyJoZGlkIjoiN2FkMmFjNTIzYTc2MzM4YzI5MjhhZjFlYzFlYTkyNWUiLCJ1c2VySWQiOiIxMTk5MzAzNjYzIn0=</vt:lpwstr>
  </property>
</Properties>
</file>