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C799B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165386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bookmarkStart w:id="0" w:name="_GoBack"/>
      <w:bookmarkEnd w:id="0"/>
    </w:p>
    <w:p w14:paraId="4C57176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CR-40S is a waterborne latent curing agent that can coexist stably for a long time with resins containing active groups (hydroxyl, carboxyl, amino, epoxy, etc.) at room temperature. After heat treatment at 110–120 °C, the released -NCO groups react with hydroxyl, carboxyl, amino and other groups to form crosslinks. It can significantly improve the color stability, adhesion, bonding fastness and cooking resistance of polyurethane, polyester, alkyd and acrylic resins, with excellent hand feel and yellowing resistance.</w:t>
      </w:r>
    </w:p>
    <w:p w14:paraId="56F0CF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bdr w:val="none" w:color="auto" w:sz="0" w:space="0"/>
          <w:lang w:val="en-US" w:eastAsia="zh-CN" w:bidi="ar"/>
        </w:rPr>
      </w:pPr>
    </w:p>
    <w:p w14:paraId="09A5BC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Features</w:t>
      </w:r>
    </w:p>
    <w:p w14:paraId="7B38297D">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Soft, no negative effect on hand feel after curing.</w:t>
      </w:r>
    </w:p>
    <w:p w14:paraId="5C93E23E">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Water-dilutable, free of VOCs.</w:t>
      </w:r>
    </w:p>
    <w:p w14:paraId="5AB88B42">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Low deblocking temperature and excellent yellowing resistance.</w:t>
      </w:r>
    </w:p>
    <w:p w14:paraId="6A042717">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default" w:ascii="Arial" w:hAnsi="Arial" w:cs="Arial"/>
          <w:color w:val="000000"/>
          <w:sz w:val="24"/>
          <w:szCs w:val="24"/>
        </w:rPr>
      </w:pPr>
    </w:p>
    <w:p w14:paraId="6188F1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Technical Parameters*</w:t>
      </w:r>
    </w:p>
    <w:tbl>
      <w:tblPr>
        <w:tblStyle w:val="6"/>
        <w:tblW w:w="0" w:type="auto"/>
        <w:tblInd w:w="17" w:type="dxa"/>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fixed"/>
        <w:tblCellMar>
          <w:top w:w="0" w:type="dxa"/>
          <w:left w:w="108" w:type="dxa"/>
          <w:bottom w:w="0" w:type="dxa"/>
          <w:right w:w="108" w:type="dxa"/>
        </w:tblCellMar>
      </w:tblPr>
      <w:tblGrid>
        <w:gridCol w:w="2866"/>
        <w:gridCol w:w="2582"/>
        <w:gridCol w:w="1197"/>
        <w:gridCol w:w="2494"/>
      </w:tblGrid>
      <w:tr w14:paraId="5052DAD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single" w:color="auto" w:sz="4" w:space="0"/>
              <w:bottom w:val="single" w:color="auto" w:sz="4" w:space="0"/>
              <w:right w:val="nil"/>
            </w:tcBorders>
            <w:vAlign w:val="center"/>
          </w:tcPr>
          <w:p w14:paraId="3C7ABEBC">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2582" w:type="dxa"/>
            <w:tcBorders>
              <w:top w:val="single" w:color="auto" w:sz="4" w:space="0"/>
              <w:left w:val="nil"/>
              <w:bottom w:val="single" w:color="auto" w:sz="4" w:space="0"/>
              <w:right w:val="nil"/>
            </w:tcBorders>
            <w:vAlign w:val="center"/>
          </w:tcPr>
          <w:p w14:paraId="4BF415F3">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1197" w:type="dxa"/>
            <w:tcBorders>
              <w:top w:val="single" w:color="auto" w:sz="4" w:space="0"/>
              <w:left w:val="nil"/>
              <w:bottom w:val="single" w:color="auto" w:sz="4" w:space="0"/>
              <w:right w:val="nil"/>
            </w:tcBorders>
            <w:vAlign w:val="center"/>
          </w:tcPr>
          <w:p w14:paraId="6DFAFB71">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2494" w:type="dxa"/>
            <w:tcBorders>
              <w:top w:val="single" w:color="auto" w:sz="4" w:space="0"/>
              <w:left w:val="nil"/>
              <w:bottom w:val="single" w:color="auto" w:sz="4" w:space="0"/>
            </w:tcBorders>
            <w:vAlign w:val="center"/>
          </w:tcPr>
          <w:p w14:paraId="508D1B08">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097885F5">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single" w:color="auto" w:sz="4" w:space="0"/>
              <w:bottom w:val="nil"/>
              <w:right w:val="nil"/>
            </w:tcBorders>
            <w:vAlign w:val="center"/>
          </w:tcPr>
          <w:p w14:paraId="15A2819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582" w:type="dxa"/>
            <w:tcBorders>
              <w:top w:val="single" w:color="auto" w:sz="4" w:space="0"/>
              <w:left w:val="nil"/>
              <w:bottom w:val="nil"/>
              <w:right w:val="nil"/>
            </w:tcBorders>
            <w:vAlign w:val="center"/>
          </w:tcPr>
          <w:p w14:paraId="1653222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Milky white liquid with blue tint</w:t>
            </w:r>
          </w:p>
        </w:tc>
        <w:tc>
          <w:tcPr>
            <w:tcW w:w="1197" w:type="dxa"/>
            <w:tcBorders>
              <w:top w:val="single" w:color="auto" w:sz="4" w:space="0"/>
              <w:left w:val="nil"/>
              <w:bottom w:val="nil"/>
              <w:right w:val="nil"/>
            </w:tcBorders>
            <w:vAlign w:val="center"/>
          </w:tcPr>
          <w:p w14:paraId="0E51FBE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94" w:type="dxa"/>
            <w:tcBorders>
              <w:top w:val="single" w:color="auto" w:sz="4" w:space="0"/>
              <w:left w:val="nil"/>
              <w:bottom w:val="nil"/>
            </w:tcBorders>
            <w:vAlign w:val="center"/>
          </w:tcPr>
          <w:p w14:paraId="7A39763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0B06EF7F">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nil"/>
              <w:bottom w:val="nil"/>
              <w:right w:val="nil"/>
            </w:tcBorders>
            <w:vAlign w:val="center"/>
          </w:tcPr>
          <w:p w14:paraId="6FB7AC3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582" w:type="dxa"/>
            <w:tcBorders>
              <w:top w:val="nil"/>
              <w:left w:val="nil"/>
              <w:bottom w:val="nil"/>
              <w:right w:val="nil"/>
            </w:tcBorders>
            <w:vAlign w:val="center"/>
          </w:tcPr>
          <w:p w14:paraId="7455C9B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40±2</w:t>
            </w:r>
          </w:p>
        </w:tc>
        <w:tc>
          <w:tcPr>
            <w:tcW w:w="1197" w:type="dxa"/>
            <w:tcBorders>
              <w:top w:val="nil"/>
              <w:left w:val="nil"/>
              <w:bottom w:val="nil"/>
              <w:right w:val="nil"/>
            </w:tcBorders>
            <w:vAlign w:val="center"/>
          </w:tcPr>
          <w:p w14:paraId="1A292DE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94" w:type="dxa"/>
            <w:tcBorders>
              <w:top w:val="nil"/>
              <w:left w:val="nil"/>
              <w:bottom w:val="nil"/>
            </w:tcBorders>
            <w:vAlign w:val="center"/>
          </w:tcPr>
          <w:p w14:paraId="38D2D37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5DBC10E6">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nil"/>
              <w:bottom w:val="nil"/>
              <w:right w:val="nil"/>
            </w:tcBorders>
            <w:vAlign w:val="center"/>
          </w:tcPr>
          <w:p w14:paraId="241E934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2582" w:type="dxa"/>
            <w:tcBorders>
              <w:top w:val="nil"/>
              <w:left w:val="nil"/>
              <w:bottom w:val="nil"/>
              <w:right w:val="nil"/>
            </w:tcBorders>
            <w:vAlign w:val="center"/>
          </w:tcPr>
          <w:p w14:paraId="440426B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w:t>
            </w:r>
          </w:p>
        </w:tc>
        <w:tc>
          <w:tcPr>
            <w:tcW w:w="1197" w:type="dxa"/>
            <w:tcBorders>
              <w:top w:val="nil"/>
              <w:left w:val="nil"/>
              <w:bottom w:val="nil"/>
              <w:right w:val="nil"/>
            </w:tcBorders>
            <w:vAlign w:val="center"/>
          </w:tcPr>
          <w:p w14:paraId="6E4D145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494" w:type="dxa"/>
            <w:tcBorders>
              <w:top w:val="nil"/>
              <w:left w:val="nil"/>
              <w:bottom w:val="nil"/>
            </w:tcBorders>
            <w:vAlign w:val="center"/>
          </w:tcPr>
          <w:p w14:paraId="1E13193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413E3AA0">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nil"/>
              <w:bottom w:val="nil"/>
              <w:right w:val="nil"/>
            </w:tcBorders>
            <w:vAlign w:val="center"/>
          </w:tcPr>
          <w:p w14:paraId="12E13C4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Ionicity</w:t>
            </w:r>
          </w:p>
        </w:tc>
        <w:tc>
          <w:tcPr>
            <w:tcW w:w="2582" w:type="dxa"/>
            <w:tcBorders>
              <w:top w:val="nil"/>
              <w:left w:val="nil"/>
              <w:bottom w:val="nil"/>
              <w:right w:val="nil"/>
            </w:tcBorders>
            <w:vAlign w:val="center"/>
          </w:tcPr>
          <w:p w14:paraId="65D2E2E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Non-ionic</w:t>
            </w:r>
          </w:p>
        </w:tc>
        <w:tc>
          <w:tcPr>
            <w:tcW w:w="1197" w:type="dxa"/>
            <w:tcBorders>
              <w:top w:val="nil"/>
              <w:left w:val="nil"/>
              <w:bottom w:val="nil"/>
              <w:right w:val="nil"/>
            </w:tcBorders>
            <w:vAlign w:val="center"/>
          </w:tcPr>
          <w:p w14:paraId="6658D4E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94" w:type="dxa"/>
            <w:tcBorders>
              <w:top w:val="nil"/>
              <w:left w:val="nil"/>
              <w:bottom w:val="nil"/>
            </w:tcBorders>
            <w:vAlign w:val="center"/>
          </w:tcPr>
          <w:p w14:paraId="78ED435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6074086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nil"/>
              <w:bottom w:val="nil"/>
              <w:right w:val="nil"/>
            </w:tcBorders>
            <w:vAlign w:val="center"/>
          </w:tcPr>
          <w:p w14:paraId="0B5BDF1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Density</w:t>
            </w:r>
          </w:p>
        </w:tc>
        <w:tc>
          <w:tcPr>
            <w:tcW w:w="2582" w:type="dxa"/>
            <w:tcBorders>
              <w:top w:val="nil"/>
              <w:left w:val="nil"/>
              <w:bottom w:val="nil"/>
              <w:right w:val="nil"/>
            </w:tcBorders>
            <w:vAlign w:val="center"/>
          </w:tcPr>
          <w:p w14:paraId="5E89924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1.15–1.25</w:t>
            </w:r>
          </w:p>
        </w:tc>
        <w:tc>
          <w:tcPr>
            <w:tcW w:w="1197" w:type="dxa"/>
            <w:tcBorders>
              <w:top w:val="nil"/>
              <w:left w:val="nil"/>
              <w:bottom w:val="nil"/>
              <w:right w:val="nil"/>
            </w:tcBorders>
            <w:vAlign w:val="center"/>
          </w:tcPr>
          <w:p w14:paraId="5EBE68D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g/cm³</w:t>
            </w:r>
          </w:p>
        </w:tc>
        <w:tc>
          <w:tcPr>
            <w:tcW w:w="2494" w:type="dxa"/>
            <w:tcBorders>
              <w:top w:val="nil"/>
              <w:left w:val="nil"/>
              <w:bottom w:val="nil"/>
            </w:tcBorders>
            <w:vAlign w:val="center"/>
          </w:tcPr>
          <w:p w14:paraId="49C9DEC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4472-2011</w:t>
            </w:r>
          </w:p>
        </w:tc>
      </w:tr>
      <w:tr w14:paraId="4167CA8B">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nil"/>
              <w:bottom w:val="nil"/>
              <w:right w:val="nil"/>
            </w:tcBorders>
            <w:vAlign w:val="center"/>
          </w:tcPr>
          <w:p w14:paraId="5E73334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NCO Content After Deblocking</w:t>
            </w:r>
          </w:p>
        </w:tc>
        <w:tc>
          <w:tcPr>
            <w:tcW w:w="2582" w:type="dxa"/>
            <w:tcBorders>
              <w:top w:val="nil"/>
              <w:left w:val="nil"/>
              <w:bottom w:val="nil"/>
              <w:right w:val="nil"/>
            </w:tcBorders>
            <w:vAlign w:val="center"/>
          </w:tcPr>
          <w:p w14:paraId="04831F2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4.5–5.0</w:t>
            </w:r>
          </w:p>
        </w:tc>
        <w:tc>
          <w:tcPr>
            <w:tcW w:w="1197" w:type="dxa"/>
            <w:tcBorders>
              <w:top w:val="nil"/>
              <w:left w:val="nil"/>
              <w:bottom w:val="nil"/>
              <w:right w:val="nil"/>
            </w:tcBorders>
            <w:vAlign w:val="center"/>
          </w:tcPr>
          <w:p w14:paraId="354F1EB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94" w:type="dxa"/>
            <w:tcBorders>
              <w:top w:val="nil"/>
              <w:left w:val="nil"/>
              <w:bottom w:val="nil"/>
            </w:tcBorders>
            <w:vAlign w:val="center"/>
          </w:tcPr>
          <w:p w14:paraId="375B375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3B2122BD">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866" w:type="dxa"/>
            <w:tcBorders>
              <w:top w:val="nil"/>
              <w:bottom w:val="single" w:color="auto" w:sz="4" w:space="0"/>
              <w:right w:val="nil"/>
            </w:tcBorders>
            <w:vAlign w:val="center"/>
          </w:tcPr>
          <w:p w14:paraId="45D2159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Deblocking Temperature</w:t>
            </w:r>
          </w:p>
        </w:tc>
        <w:tc>
          <w:tcPr>
            <w:tcW w:w="2582" w:type="dxa"/>
            <w:tcBorders>
              <w:top w:val="nil"/>
              <w:left w:val="nil"/>
              <w:bottom w:val="single" w:color="auto" w:sz="4" w:space="0"/>
              <w:right w:val="nil"/>
            </w:tcBorders>
            <w:vAlign w:val="center"/>
          </w:tcPr>
          <w:p w14:paraId="2792BBD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110–120</w:t>
            </w:r>
          </w:p>
        </w:tc>
        <w:tc>
          <w:tcPr>
            <w:tcW w:w="1197" w:type="dxa"/>
            <w:tcBorders>
              <w:top w:val="nil"/>
              <w:left w:val="nil"/>
              <w:bottom w:val="single" w:color="auto" w:sz="4" w:space="0"/>
              <w:right w:val="nil"/>
            </w:tcBorders>
            <w:vAlign w:val="center"/>
          </w:tcPr>
          <w:p w14:paraId="433DD2B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94" w:type="dxa"/>
            <w:tcBorders>
              <w:top w:val="nil"/>
              <w:left w:val="nil"/>
              <w:bottom w:val="single" w:color="auto" w:sz="4" w:space="0"/>
            </w:tcBorders>
            <w:vAlign w:val="center"/>
          </w:tcPr>
          <w:p w14:paraId="35CAAB7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79214A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5ABBA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bdr w:val="none" w:color="auto" w:sz="0" w:space="0"/>
          <w:lang w:val="en-US" w:eastAsia="zh-CN" w:bidi="ar"/>
        </w:rPr>
      </w:pPr>
    </w:p>
    <w:p w14:paraId="0F7A780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Applications</w:t>
      </w:r>
    </w:p>
    <w:p w14:paraId="783F0519">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Used as an internal crosslinker for one-component heat-curable waterborne coatings to significantly improve water resistance, chemical resistance, abrasion resistance, adhesion and mechanical properties of waterborne resin films.</w:t>
      </w:r>
    </w:p>
    <w:p w14:paraId="5138615B">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Used as an additive for three-proof emulsions to fix organic fluorine/silicone on cotton or polyester fibers and increase washing resistance of three-proof fabrics.</w:t>
      </w:r>
    </w:p>
    <w:p w14:paraId="000FE434">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Used as an internal crosslinker for textile coatings and printing adhesives to enhance adhesion, washing resistance, abrasion resistance and color stability.</w:t>
      </w:r>
    </w:p>
    <w:p w14:paraId="4A9F215F">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Used as an internal crosslinker for one-component metal baking finishes, replacing amino resins to reduce brittleness, formaldehyde-free and excellent yellowing resistance.</w:t>
      </w:r>
    </w:p>
    <w:p w14:paraId="0F5EA9AB">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Used as a treatment agent for polyester or polyester cord fabric to improve adhesion between polyester and rubber.</w:t>
      </w:r>
    </w:p>
    <w:p w14:paraId="0240A3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bdr w:val="none" w:color="auto" w:sz="0" w:space="0"/>
        </w:rPr>
      </w:pPr>
    </w:p>
    <w:p w14:paraId="357F78E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Storage</w:t>
      </w:r>
    </w:p>
    <w:p w14:paraId="11327AE4">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3D1253D1">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622BF87D">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other substances.</w:t>
      </w:r>
    </w:p>
    <w:p w14:paraId="09A015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bdr w:val="none" w:color="auto" w:sz="0" w:space="0"/>
        </w:rPr>
      </w:pPr>
    </w:p>
    <w:p w14:paraId="3C02AB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Shelf Life</w:t>
      </w:r>
    </w:p>
    <w:p w14:paraId="67B974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Use within 12 months from the production date.</w:t>
      </w:r>
    </w:p>
    <w:p w14:paraId="13AAEB83">
      <w:pPr>
        <w:pStyle w:val="9"/>
        <w:ind w:firstLine="480" w:firstLineChars="200"/>
        <w:rPr>
          <w:rFonts w:hint="default" w:ascii="Arial" w:hAnsi="Arial" w:eastAsia="微软雅黑" w:cs="Arial"/>
          <w:sz w:val="24"/>
          <w:szCs w:val="24"/>
        </w:rPr>
      </w:pPr>
    </w:p>
    <w:p w14:paraId="3986CB18">
      <w:pPr>
        <w:pStyle w:val="9"/>
        <w:ind w:firstLine="480" w:firstLineChars="200"/>
        <w:rPr>
          <w:rFonts w:hint="default" w:ascii="Arial" w:hAnsi="Arial" w:eastAsia="微软雅黑" w:cs="Arial"/>
          <w:sz w:val="24"/>
          <w:szCs w:val="24"/>
        </w:rPr>
      </w:pPr>
    </w:p>
    <w:p w14:paraId="03B073A8">
      <w:pPr>
        <w:pStyle w:val="9"/>
        <w:ind w:firstLine="480" w:firstLineChars="200"/>
        <w:rPr>
          <w:rFonts w:hint="default" w:ascii="Arial" w:hAnsi="Arial" w:eastAsia="微软雅黑" w:cs="Arial"/>
          <w:sz w:val="24"/>
          <w:szCs w:val="24"/>
        </w:rPr>
      </w:pPr>
    </w:p>
    <w:p w14:paraId="5E1BD836">
      <w:pPr>
        <w:pStyle w:val="9"/>
        <w:ind w:firstLine="480" w:firstLineChars="200"/>
        <w:rPr>
          <w:rFonts w:hint="default" w:ascii="Arial" w:hAnsi="Arial" w:eastAsia="微软雅黑" w:cs="Arial"/>
          <w:sz w:val="24"/>
          <w:szCs w:val="24"/>
        </w:rPr>
      </w:pPr>
    </w:p>
    <w:p w14:paraId="3E79BD92">
      <w:pPr>
        <w:pStyle w:val="9"/>
        <w:ind w:firstLine="480" w:firstLineChars="200"/>
        <w:rPr>
          <w:rFonts w:hint="default" w:ascii="Arial" w:hAnsi="Arial" w:eastAsia="微软雅黑" w:cs="Arial"/>
          <w:sz w:val="24"/>
          <w:szCs w:val="24"/>
        </w:rPr>
      </w:pPr>
    </w:p>
    <w:p w14:paraId="435E55EC">
      <w:pPr>
        <w:pStyle w:val="9"/>
        <w:ind w:firstLine="480" w:firstLineChars="200"/>
        <w:rPr>
          <w:rFonts w:hint="default" w:ascii="Arial" w:hAnsi="Arial" w:eastAsia="微软雅黑" w:cs="Arial"/>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1E80FE84">
      <w:pPr>
        <w:spacing w:line="360" w:lineRule="auto"/>
        <w:jc w:val="left"/>
        <w:rPr>
          <w:rFonts w:hint="default" w:ascii="Arial" w:hAnsi="Arial" w:eastAsia="微软雅黑" w:cs="Arial"/>
          <w:b/>
          <w:bCs/>
          <w:sz w:val="24"/>
          <w:szCs w:val="24"/>
        </w:rPr>
      </w:pPr>
    </w:p>
    <w:sectPr>
      <w:headerReference r:id="rId4" w:type="first"/>
      <w:footerReference r:id="rId6" w:type="first"/>
      <w:headerReference r:id="rId3" w:type="default"/>
      <w:footerReference r:id="rId5" w:type="default"/>
      <w:pgSz w:w="11906" w:h="16838"/>
      <w:pgMar w:top="850" w:right="1417" w:bottom="850" w:left="1417" w:header="851" w:footer="680"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4453255</wp:posOffset>
              </wp:positionH>
              <wp:positionV relativeFrom="paragraph">
                <wp:posOffset>1270</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CR</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40S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0.65pt;margin-top:0.1pt;height:48.75pt;width:125.75pt;z-index:251659264;mso-width-relative:page;mso-height-relative:page;" filled="f" stroked="f" coordsize="21600,21600" o:gfxdata="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0xj0S2QAAAAcBAAAPAAAAAAAAAAEAIAAAACIAAABkcnMv&#10;ZG93bnJldi54bWxQSwECFAAUAAAACACHTuJASKgEazsCAABmBAAADgAAAAAAAAABACAAAAAoAQAA&#10;ZHJzL2Uyb0RvYy54bWxQSwUGAAAAAAYABgBZAQAA1QU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CR</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40S</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3582670</wp:posOffset>
              </wp:positionH>
              <wp:positionV relativeFrom="paragraph">
                <wp:posOffset>453390</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pPr>
                          <w:r>
                            <w:rPr>
                              <w:rFonts w:hint="default" w:ascii="Arial" w:hAnsi="Arial" w:eastAsia="微软雅黑" w:cs="Arial"/>
                              <w:b/>
                              <w:bCs/>
                              <w:color w:val="00A2E9"/>
                              <w:sz w:val="28"/>
                              <w:szCs w:val="28"/>
                              <w14:shadow w14:blurRad="38100" w14:dist="19050" w14:dir="2700000" w14:sx="100000" w14:sy="100000" w14:kx="0" w14:ky="0" w14:algn="tl">
                                <w14:schemeClr w14:val="dk1">
                                  <w14:alpha w14:val="60000"/>
                                </w14:schemeClr>
                              </w14:shadow>
                            </w:rPr>
                            <w:t>Waterborne Latent Curing A</w:t>
                          </w:r>
                          <w: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t>gent</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1pt;margin-top:35.7pt;height:47.8pt;width:144pt;mso-wrap-style:none;z-index:251661312;mso-width-relative:page;mso-height-relative:page;" filled="f" stroked="f" coordsize="21600,21600" o:gfxdata="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XsYIV2wAAAAoBAAAPAAAAAAAAAAEAIAAAACIAAABkcnMv&#10;ZG93bnJldi54bWxQSwECFAAUAAAACACHTuJAVkQEPzkCAABkBAAADgAAAAAAAAABACAAAAAqAQAA&#10;ZHJzL2Uyb0RvYy54bWxQSwUGAAAAAAYABgBZAQAA1QUAAAAA&#10;">
              <v:fill on="f" focussize="0,0"/>
              <v:stroke on="f" weight="0.5pt"/>
              <v:imagedata o:title=""/>
              <o:lock v:ext="edit" aspectratio="f"/>
              <v:textbox>
                <w:txbxContent>
                  <w:p w14:paraId="1C677FE1">
                    <w:pP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pPr>
                    <w:r>
                      <w:rPr>
                        <w:rFonts w:hint="default" w:ascii="Arial" w:hAnsi="Arial" w:eastAsia="微软雅黑" w:cs="Arial"/>
                        <w:b/>
                        <w:bCs/>
                        <w:color w:val="00A2E9"/>
                        <w:sz w:val="28"/>
                        <w:szCs w:val="28"/>
                        <w14:shadow w14:blurRad="38100" w14:dist="19050" w14:dir="2700000" w14:sx="100000" w14:sy="100000" w14:kx="0" w14:ky="0" w14:algn="tl">
                          <w14:schemeClr w14:val="dk1">
                            <w14:alpha w14:val="60000"/>
                          </w14:schemeClr>
                        </w14:shadow>
                      </w:rPr>
                      <w:t>Waterborne Latent Curing A</w:t>
                    </w:r>
                    <w: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t>gent</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9CDD59"/>
    <w:multiLevelType w:val="singleLevel"/>
    <w:tmpl w:val="B79CDD59"/>
    <w:lvl w:ilvl="0" w:tentative="0">
      <w:start w:val="1"/>
      <w:numFmt w:val="decimal"/>
      <w:lvlText w:val="%1."/>
      <w:lvlJc w:val="left"/>
      <w:pPr>
        <w:ind w:left="425" w:hanging="425"/>
      </w:pPr>
      <w:rPr>
        <w:rFonts w:hint="default"/>
      </w:rPr>
    </w:lvl>
  </w:abstractNum>
  <w:abstractNum w:abstractNumId="1">
    <w:nsid w:val="F15E33A6"/>
    <w:multiLevelType w:val="singleLevel"/>
    <w:tmpl w:val="F15E33A6"/>
    <w:lvl w:ilvl="0" w:tentative="0">
      <w:start w:val="1"/>
      <w:numFmt w:val="decimal"/>
      <w:lvlText w:val="%1."/>
      <w:lvlJc w:val="left"/>
      <w:pPr>
        <w:ind w:left="425" w:hanging="425"/>
      </w:pPr>
      <w:rPr>
        <w:rFonts w:hint="default"/>
      </w:rPr>
    </w:lvl>
  </w:abstractNum>
  <w:abstractNum w:abstractNumId="2">
    <w:nsid w:val="2A594B80"/>
    <w:multiLevelType w:val="singleLevel"/>
    <w:tmpl w:val="2A594B8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04443A"/>
    <w:rsid w:val="00133275"/>
    <w:rsid w:val="00136635"/>
    <w:rsid w:val="00156019"/>
    <w:rsid w:val="00200121"/>
    <w:rsid w:val="00267E20"/>
    <w:rsid w:val="00296707"/>
    <w:rsid w:val="002F6D5B"/>
    <w:rsid w:val="0032041C"/>
    <w:rsid w:val="003550AC"/>
    <w:rsid w:val="00455912"/>
    <w:rsid w:val="004C42C6"/>
    <w:rsid w:val="00505831"/>
    <w:rsid w:val="00527365"/>
    <w:rsid w:val="00595057"/>
    <w:rsid w:val="00596990"/>
    <w:rsid w:val="007F7F2C"/>
    <w:rsid w:val="00867CB0"/>
    <w:rsid w:val="00912B14"/>
    <w:rsid w:val="0097112D"/>
    <w:rsid w:val="00CB1423"/>
    <w:rsid w:val="00CE110F"/>
    <w:rsid w:val="00D33741"/>
    <w:rsid w:val="00D55D1D"/>
    <w:rsid w:val="00E238A5"/>
    <w:rsid w:val="00EB567E"/>
    <w:rsid w:val="00F02A8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D7A2F9A"/>
    <w:rsid w:val="0E0D35C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9016A9"/>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663</Words>
  <Characters>777</Characters>
  <Lines>64</Lines>
  <Paragraphs>54</Paragraphs>
  <TotalTime>7</TotalTime>
  <ScaleCrop>false</ScaleCrop>
  <LinksUpToDate>false</LinksUpToDate>
  <CharactersWithSpaces>790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2024-06-21T11:25:00Z</dcterms:created>
  <dc:creator>Davis</dc:creator>
  <cp:lastModifiedBy>戴眼镜的麻杆。</cp:lastModifiedBy>
  <cp:lastPrinted>2024-06-20T10:29:00Z</cp:lastPrinted>
  <dcterms:modified xsi:type="dcterms:W3CDTF">2026-04-14T08:51:16Z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