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263EB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5355E1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288F7E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bdr w:val="none" w:color="auto" w:sz="0" w:space="0"/>
          <w:lang w:val="en-US" w:eastAsia="zh-CN" w:bidi="ar"/>
        </w:rPr>
      </w:pPr>
      <w:r>
        <w:rPr>
          <w:rFonts w:hint="default" w:ascii="Arial" w:hAnsi="Arial" w:eastAsia="宋体" w:cs="Arial"/>
          <w:color w:val="000000"/>
          <w:kern w:val="0"/>
          <w:sz w:val="24"/>
          <w:szCs w:val="24"/>
          <w:bdr w:val="none" w:color="auto" w:sz="0" w:space="0"/>
          <w:lang w:val="en-US" w:eastAsia="zh-CN" w:bidi="ar"/>
        </w:rPr>
        <w:t>CN-817-1 is a specially modified anionic waterborne polyurethane resin. It is a peelable, high-gloss, yellowing-resistant waterborne polyurethane emulsion. It features moderate film softness, high strength and fullness, and is a high-performance emulsion specially designed for peelable substrates, especially for ABS/PC and other substrates.</w:t>
      </w:r>
    </w:p>
    <w:p w14:paraId="62AC75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20" w:firstLineChars="200"/>
        <w:jc w:val="left"/>
        <w:textAlignment w:val="auto"/>
        <w:rPr>
          <w:rFonts w:hint="default" w:ascii="Arial" w:hAnsi="Arial" w:eastAsia="宋体" w:cs="Arial"/>
          <w:color w:val="000000"/>
          <w:kern w:val="0"/>
          <w:sz w:val="21"/>
          <w:szCs w:val="21"/>
          <w:bdr w:val="none" w:color="auto" w:sz="0" w:space="0"/>
          <w:lang w:val="en-US" w:eastAsia="zh-CN" w:bidi="ar"/>
        </w:rPr>
      </w:pPr>
    </w:p>
    <w:p w14:paraId="6845EC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rPr>
      </w:pPr>
      <w:r>
        <w:rPr>
          <w:rFonts w:hint="default" w:ascii="Arial" w:hAnsi="Arial" w:cs="Arial"/>
          <w:color w:val="000000"/>
          <w:sz w:val="28"/>
          <w:szCs w:val="28"/>
          <w:bdr w:val="none" w:color="auto" w:sz="0" w:space="0"/>
        </w:rPr>
        <w:t>Product Features</w:t>
      </w:r>
    </w:p>
    <w:p w14:paraId="7EDBDA81">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Small and uniformly distributed emulsion particle size, providing peelability and excellent water resistance to substrates.</w:t>
      </w:r>
    </w:p>
    <w:p w14:paraId="1FB0B968">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Milky white with obvious blue light, good leveling and rheological properties, high gloss.</w:t>
      </w:r>
    </w:p>
    <w:p w14:paraId="3978F3F0">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Full film formation, moderate softness, and high tensile strength.</w:t>
      </w:r>
    </w:p>
    <w:p w14:paraId="18BDE509">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8"/>
          <w:szCs w:val="28"/>
          <w:bdr w:val="none" w:color="auto" w:sz="0" w:space="0"/>
        </w:rPr>
      </w:pPr>
      <w:r>
        <w:rPr>
          <w:rFonts w:hint="default" w:ascii="Arial" w:hAnsi="Arial" w:cs="Arial"/>
          <w:color w:val="000000"/>
          <w:sz w:val="24"/>
          <w:szCs w:val="24"/>
          <w:bdr w:val="none" w:color="auto" w:sz="0" w:space="0"/>
        </w:rPr>
        <w:t>Good peelability on ABS/PC and other surfaces, superior to similar products on the market.</w:t>
      </w:r>
    </w:p>
    <w:p w14:paraId="11DCFD43">
      <w:pPr>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Chars="0" w:right="0" w:rightChars="0"/>
        <w:jc w:val="left"/>
        <w:textAlignment w:val="auto"/>
        <w:rPr>
          <w:rFonts w:hint="default" w:ascii="Arial" w:hAnsi="Arial" w:cs="Arial"/>
          <w:color w:val="000000"/>
          <w:sz w:val="21"/>
          <w:szCs w:val="21"/>
          <w:bdr w:val="none" w:color="auto" w:sz="0" w:space="0"/>
        </w:rPr>
      </w:pPr>
    </w:p>
    <w:p w14:paraId="65A06E3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Technical Parameters*</w:t>
      </w:r>
    </w:p>
    <w:tbl>
      <w:tblPr>
        <w:tblStyle w:val="6"/>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6"/>
        <w:gridCol w:w="3259"/>
        <w:gridCol w:w="981"/>
        <w:gridCol w:w="2423"/>
      </w:tblGrid>
      <w:tr w14:paraId="50EB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396" w:type="dxa"/>
            <w:tcBorders>
              <w:left w:val="nil"/>
              <w:bottom w:val="nil"/>
              <w:right w:val="nil"/>
            </w:tcBorders>
            <w:vAlign w:val="center"/>
          </w:tcPr>
          <w:p w14:paraId="710A13AB">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3259" w:type="dxa"/>
            <w:tcBorders>
              <w:top w:val="single" w:color="auto" w:sz="4" w:space="0"/>
              <w:left w:val="nil"/>
              <w:bottom w:val="nil"/>
              <w:right w:val="nil"/>
            </w:tcBorders>
            <w:vAlign w:val="center"/>
          </w:tcPr>
          <w:p w14:paraId="2A814FE9">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981" w:type="dxa"/>
            <w:tcBorders>
              <w:top w:val="single" w:color="auto" w:sz="4" w:space="0"/>
              <w:left w:val="nil"/>
              <w:bottom w:val="nil"/>
              <w:right w:val="nil"/>
            </w:tcBorders>
            <w:vAlign w:val="center"/>
          </w:tcPr>
          <w:p w14:paraId="619FFE71">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423" w:type="dxa"/>
            <w:tcBorders>
              <w:top w:val="single" w:color="auto" w:sz="4" w:space="0"/>
              <w:left w:val="nil"/>
              <w:bottom w:val="nil"/>
              <w:right w:val="nil"/>
            </w:tcBorders>
            <w:vAlign w:val="center"/>
          </w:tcPr>
          <w:p w14:paraId="70D72F93">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479F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left w:val="nil"/>
              <w:bottom w:val="nil"/>
              <w:right w:val="nil"/>
            </w:tcBorders>
            <w:vAlign w:val="center"/>
          </w:tcPr>
          <w:p w14:paraId="644953A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3259" w:type="dxa"/>
            <w:tcBorders>
              <w:top w:val="single" w:color="auto" w:sz="4" w:space="0"/>
              <w:left w:val="nil"/>
              <w:bottom w:val="nil"/>
              <w:right w:val="nil"/>
            </w:tcBorders>
            <w:vAlign w:val="center"/>
          </w:tcPr>
          <w:p w14:paraId="362609D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Milky white with blue light</w:t>
            </w:r>
          </w:p>
        </w:tc>
        <w:tc>
          <w:tcPr>
            <w:tcW w:w="981" w:type="dxa"/>
            <w:tcBorders>
              <w:top w:val="single" w:color="auto" w:sz="4" w:space="0"/>
              <w:left w:val="nil"/>
              <w:bottom w:val="nil"/>
              <w:right w:val="nil"/>
            </w:tcBorders>
            <w:vAlign w:val="center"/>
          </w:tcPr>
          <w:p w14:paraId="29CC1A6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23" w:type="dxa"/>
            <w:tcBorders>
              <w:top w:val="single" w:color="auto" w:sz="4" w:space="0"/>
              <w:left w:val="nil"/>
              <w:bottom w:val="nil"/>
              <w:right w:val="nil"/>
            </w:tcBorders>
            <w:vAlign w:val="center"/>
          </w:tcPr>
          <w:p w14:paraId="327C7E7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4819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top w:val="nil"/>
              <w:left w:val="nil"/>
              <w:bottom w:val="nil"/>
              <w:right w:val="nil"/>
            </w:tcBorders>
            <w:vAlign w:val="center"/>
          </w:tcPr>
          <w:p w14:paraId="40A8A28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3259" w:type="dxa"/>
            <w:tcBorders>
              <w:top w:val="nil"/>
              <w:left w:val="nil"/>
              <w:bottom w:val="nil"/>
              <w:right w:val="nil"/>
            </w:tcBorders>
            <w:vAlign w:val="center"/>
          </w:tcPr>
          <w:p w14:paraId="739F7D6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42.00±1.00</w:t>
            </w:r>
          </w:p>
        </w:tc>
        <w:tc>
          <w:tcPr>
            <w:tcW w:w="981" w:type="dxa"/>
            <w:tcBorders>
              <w:top w:val="nil"/>
              <w:left w:val="nil"/>
              <w:bottom w:val="nil"/>
              <w:right w:val="nil"/>
            </w:tcBorders>
            <w:vAlign w:val="center"/>
          </w:tcPr>
          <w:p w14:paraId="2CF62CA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23" w:type="dxa"/>
            <w:tcBorders>
              <w:top w:val="nil"/>
              <w:left w:val="nil"/>
              <w:bottom w:val="nil"/>
              <w:right w:val="nil"/>
            </w:tcBorders>
            <w:vAlign w:val="center"/>
          </w:tcPr>
          <w:p w14:paraId="1FFA154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7F98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top w:val="nil"/>
              <w:left w:val="nil"/>
              <w:bottom w:val="nil"/>
              <w:right w:val="nil"/>
            </w:tcBorders>
            <w:vAlign w:val="center"/>
          </w:tcPr>
          <w:p w14:paraId="7C1DBE3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3259" w:type="dxa"/>
            <w:tcBorders>
              <w:top w:val="nil"/>
              <w:left w:val="nil"/>
              <w:bottom w:val="nil"/>
              <w:right w:val="nil"/>
            </w:tcBorders>
            <w:vAlign w:val="center"/>
          </w:tcPr>
          <w:p w14:paraId="328EE9A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50–5000</w:t>
            </w:r>
          </w:p>
        </w:tc>
        <w:tc>
          <w:tcPr>
            <w:tcW w:w="981" w:type="dxa"/>
            <w:tcBorders>
              <w:top w:val="nil"/>
              <w:left w:val="nil"/>
              <w:bottom w:val="nil"/>
              <w:right w:val="nil"/>
            </w:tcBorders>
            <w:vAlign w:val="center"/>
          </w:tcPr>
          <w:p w14:paraId="0B9F04F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423" w:type="dxa"/>
            <w:tcBorders>
              <w:top w:val="nil"/>
              <w:left w:val="nil"/>
              <w:bottom w:val="nil"/>
              <w:right w:val="nil"/>
            </w:tcBorders>
            <w:vAlign w:val="center"/>
          </w:tcPr>
          <w:p w14:paraId="629B9D5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F16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top w:val="nil"/>
              <w:left w:val="nil"/>
              <w:bottom w:val="nil"/>
              <w:right w:val="nil"/>
            </w:tcBorders>
            <w:vAlign w:val="center"/>
          </w:tcPr>
          <w:p w14:paraId="423E1DD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3259" w:type="dxa"/>
            <w:tcBorders>
              <w:top w:val="nil"/>
              <w:left w:val="nil"/>
              <w:bottom w:val="nil"/>
              <w:right w:val="nil"/>
            </w:tcBorders>
            <w:vAlign w:val="center"/>
          </w:tcPr>
          <w:p w14:paraId="29A2F09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6.0–8.0</w:t>
            </w:r>
          </w:p>
        </w:tc>
        <w:tc>
          <w:tcPr>
            <w:tcW w:w="981" w:type="dxa"/>
            <w:tcBorders>
              <w:top w:val="nil"/>
              <w:left w:val="nil"/>
              <w:bottom w:val="nil"/>
              <w:right w:val="nil"/>
            </w:tcBorders>
            <w:vAlign w:val="center"/>
          </w:tcPr>
          <w:p w14:paraId="424DEDC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23" w:type="dxa"/>
            <w:tcBorders>
              <w:top w:val="nil"/>
              <w:left w:val="nil"/>
              <w:bottom w:val="nil"/>
              <w:right w:val="nil"/>
            </w:tcBorders>
            <w:vAlign w:val="center"/>
          </w:tcPr>
          <w:p w14:paraId="29985C8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0019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top w:val="nil"/>
              <w:left w:val="nil"/>
              <w:bottom w:val="nil"/>
              <w:right w:val="nil"/>
            </w:tcBorders>
            <w:vAlign w:val="center"/>
          </w:tcPr>
          <w:p w14:paraId="1343AF5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Elongation at Break</w:t>
            </w:r>
          </w:p>
        </w:tc>
        <w:tc>
          <w:tcPr>
            <w:tcW w:w="3259" w:type="dxa"/>
            <w:tcBorders>
              <w:top w:val="nil"/>
              <w:left w:val="nil"/>
              <w:bottom w:val="nil"/>
              <w:right w:val="nil"/>
            </w:tcBorders>
            <w:vAlign w:val="center"/>
          </w:tcPr>
          <w:p w14:paraId="73EC4C9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400–500</w:t>
            </w:r>
          </w:p>
        </w:tc>
        <w:tc>
          <w:tcPr>
            <w:tcW w:w="981" w:type="dxa"/>
            <w:tcBorders>
              <w:top w:val="nil"/>
              <w:left w:val="nil"/>
              <w:bottom w:val="nil"/>
              <w:right w:val="nil"/>
            </w:tcBorders>
            <w:vAlign w:val="center"/>
          </w:tcPr>
          <w:p w14:paraId="3CAAF78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23" w:type="dxa"/>
            <w:tcBorders>
              <w:top w:val="nil"/>
              <w:left w:val="nil"/>
              <w:bottom w:val="nil"/>
              <w:right w:val="nil"/>
            </w:tcBorders>
            <w:vAlign w:val="center"/>
          </w:tcPr>
          <w:p w14:paraId="3A15596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5854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top w:val="nil"/>
              <w:left w:val="nil"/>
              <w:bottom w:val="nil"/>
              <w:right w:val="nil"/>
            </w:tcBorders>
            <w:vAlign w:val="center"/>
          </w:tcPr>
          <w:p w14:paraId="4B10D10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3259" w:type="dxa"/>
            <w:tcBorders>
              <w:top w:val="nil"/>
              <w:left w:val="nil"/>
              <w:bottom w:val="nil"/>
              <w:right w:val="nil"/>
            </w:tcBorders>
            <w:vAlign w:val="center"/>
          </w:tcPr>
          <w:p w14:paraId="5451C4F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＞25</w:t>
            </w:r>
          </w:p>
        </w:tc>
        <w:tc>
          <w:tcPr>
            <w:tcW w:w="981" w:type="dxa"/>
            <w:tcBorders>
              <w:top w:val="nil"/>
              <w:left w:val="nil"/>
              <w:bottom w:val="nil"/>
              <w:right w:val="nil"/>
            </w:tcBorders>
            <w:vAlign w:val="center"/>
          </w:tcPr>
          <w:p w14:paraId="047CB87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423" w:type="dxa"/>
            <w:tcBorders>
              <w:top w:val="nil"/>
              <w:left w:val="nil"/>
              <w:bottom w:val="nil"/>
              <w:right w:val="nil"/>
            </w:tcBorders>
            <w:vAlign w:val="center"/>
          </w:tcPr>
          <w:p w14:paraId="2CB1983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50CB4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2396" w:type="dxa"/>
            <w:tcBorders>
              <w:top w:val="nil"/>
              <w:left w:val="nil"/>
              <w:right w:val="nil"/>
            </w:tcBorders>
            <w:vAlign w:val="center"/>
          </w:tcPr>
          <w:p w14:paraId="56F0AC42">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3259" w:type="dxa"/>
            <w:tcBorders>
              <w:top w:val="nil"/>
              <w:left w:val="nil"/>
              <w:right w:val="nil"/>
            </w:tcBorders>
            <w:vAlign w:val="center"/>
          </w:tcPr>
          <w:p w14:paraId="6857868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4.5–5.4</w:t>
            </w:r>
          </w:p>
        </w:tc>
        <w:tc>
          <w:tcPr>
            <w:tcW w:w="981" w:type="dxa"/>
            <w:tcBorders>
              <w:top w:val="nil"/>
              <w:left w:val="nil"/>
              <w:right w:val="nil"/>
            </w:tcBorders>
            <w:vAlign w:val="center"/>
          </w:tcPr>
          <w:p w14:paraId="1F88036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423" w:type="dxa"/>
            <w:tcBorders>
              <w:top w:val="nil"/>
              <w:left w:val="nil"/>
              <w:right w:val="nil"/>
            </w:tcBorders>
            <w:vAlign w:val="center"/>
          </w:tcPr>
          <w:p w14:paraId="67B1C60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1F9D99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151F020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Storage</w:t>
      </w:r>
    </w:p>
    <w:p w14:paraId="6B4540D3">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6D3C847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Recommended storage temperature: 6–28 °C.</w:t>
      </w:r>
    </w:p>
    <w:p w14:paraId="2A3E9AF4">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Use within 6 months from the production date.</w:t>
      </w:r>
    </w:p>
    <w:p w14:paraId="55A42F8F">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Avoid direct sunlight and contamination by acids, alkalis or other substances.</w:t>
      </w:r>
    </w:p>
    <w:p w14:paraId="1CEB47B7">
      <w:pPr>
        <w:tabs>
          <w:tab w:val="left" w:pos="497"/>
        </w:tabs>
        <w:spacing w:line="360" w:lineRule="auto"/>
        <w:ind w:firstLine="480" w:firstLineChars="200"/>
        <w:rPr>
          <w:rFonts w:hint="default" w:ascii="Arial" w:hAnsi="Arial" w:eastAsia="微软雅黑" w:cs="Arial"/>
          <w:sz w:val="24"/>
          <w:szCs w:val="24"/>
        </w:rPr>
      </w:pPr>
    </w:p>
    <w:tbl>
      <w:tblPr>
        <w:tblStyle w:val="7"/>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0"/>
      </w:tblGrid>
      <w:tr w14:paraId="2096B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940" w:type="dxa"/>
            <w:tcBorders>
              <w:left w:val="nil"/>
              <w:right w:val="nil"/>
            </w:tcBorders>
            <w:vAlign w:val="top"/>
          </w:tcPr>
          <w:p w14:paraId="12AA9E75">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72C14A41">
      <w:pPr>
        <w:spacing w:line="360" w:lineRule="exact"/>
        <w:rPr>
          <w:rFonts w:hint="default" w:ascii="Arial" w:hAnsi="Arial" w:eastAsia="微软雅黑" w:cs="Arial"/>
          <w:b/>
          <w:bCs/>
          <w:sz w:val="24"/>
          <w:szCs w:val="24"/>
        </w:rPr>
      </w:pPr>
    </w:p>
    <w:p w14:paraId="347147B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Precautions</w:t>
      </w:r>
    </w:p>
    <w:p w14:paraId="0CE54206">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agent can improve fastness but may affect hand feel.</w:t>
      </w:r>
    </w:p>
    <w:p w14:paraId="444CE0B2">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Waterborne resin added with crosslinking agent must be used within 24 hours.</w:t>
      </w:r>
    </w:p>
    <w:p w14:paraId="4F6F9164">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Do not mix with other cationic resins.</w:t>
      </w:r>
    </w:p>
    <w:p w14:paraId="7B09B8F7">
      <w:pPr>
        <w:tabs>
          <w:tab w:val="left" w:pos="720"/>
          <w:tab w:val="left" w:pos="1980"/>
        </w:tabs>
        <w:spacing w:line="360" w:lineRule="auto"/>
        <w:ind w:firstLine="464" w:firstLineChars="200"/>
        <w:rPr>
          <w:rFonts w:hint="default" w:ascii="Arial" w:hAnsi="Arial" w:eastAsia="微软雅黑" w:cs="Arial"/>
          <w:spacing w:val="-4"/>
          <w:sz w:val="24"/>
          <w:szCs w:val="24"/>
        </w:rPr>
      </w:pPr>
    </w:p>
    <w:p w14:paraId="7A217C27">
      <w:pPr>
        <w:tabs>
          <w:tab w:val="left" w:pos="720"/>
          <w:tab w:val="left" w:pos="1980"/>
        </w:tabs>
        <w:spacing w:line="360" w:lineRule="exact"/>
        <w:ind w:left="659" w:leftChars="314"/>
        <w:rPr>
          <w:rFonts w:hint="default" w:ascii="Arial" w:hAnsi="Arial" w:eastAsia="微软雅黑" w:cs="Arial"/>
          <w:spacing w:val="-4"/>
          <w:sz w:val="24"/>
          <w:szCs w:val="24"/>
        </w:rPr>
      </w:pPr>
    </w:p>
    <w:p w14:paraId="71A4EE7C">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3C04F61F">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2E7E5591">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5F5DF0DF">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5D0838AE">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31EE9585">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49442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1734378F">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5B046993">
      <w:pPr>
        <w:spacing w:line="360" w:lineRule="auto"/>
        <w:rPr>
          <w:rFonts w:hint="default" w:ascii="Arial" w:hAnsi="Arial" w:eastAsia="微软雅黑" w:cs="Arial"/>
          <w:b/>
          <w:bCs/>
          <w:sz w:val="24"/>
          <w:szCs w:val="24"/>
        </w:rPr>
      </w:pPr>
    </w:p>
    <w:sectPr>
      <w:headerReference r:id="rId3" w:type="default"/>
      <w:footerReference r:id="rId4" w:type="default"/>
      <w:type w:val="continuous"/>
      <w:pgSz w:w="11906" w:h="16838"/>
      <w:pgMar w:top="850" w:right="1417" w:bottom="850" w:left="1417" w:header="851" w:footer="51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2BE4A">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59264"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C6C69">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59264;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4BDC6C69">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D9F08">
    <w:pPr>
      <w:pStyle w:val="5"/>
      <w:tabs>
        <w:tab w:val="left" w:pos="7457"/>
        <w:tab w:val="clear" w:pos="8306"/>
      </w:tabs>
      <w:rPr>
        <w:rFonts w:hint="eastAsia" w:eastAsia="微软雅黑"/>
        <w:sz w:val="10"/>
        <w:szCs w:val="10"/>
        <w:lang w:eastAsia="zh-CN"/>
      </w:rPr>
    </w:pPr>
    <w:r>
      <w:rPr>
        <w:sz w:val="10"/>
      </w:rPr>
      <mc:AlternateContent>
        <mc:Choice Requires="wps">
          <w:drawing>
            <wp:anchor distT="0" distB="0" distL="114300" distR="114300" simplePos="0" relativeHeight="251660288" behindDoc="0" locked="0" layoutInCell="1" allowOverlap="1">
              <wp:simplePos x="0" y="0"/>
              <wp:positionH relativeFrom="column">
                <wp:posOffset>4371975</wp:posOffset>
              </wp:positionH>
              <wp:positionV relativeFrom="paragraph">
                <wp:posOffset>-33655</wp:posOffset>
              </wp:positionV>
              <wp:extent cx="1597025" cy="49466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4946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F0EF6">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817-1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4.25pt;margin-top:-2.65pt;height:38.95pt;width:125.75pt;z-index:251660288;mso-width-relative:page;mso-height-relative:page;" filled="f" stroked="f" coordsize="21600,21600" o:gfxdata="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xcOyx2wAAAAkBAAAPAAAAAAAAAAEAIAAAACIAAABk&#10;cnMvZG93bnJldi54bWxQSwECFAAUAAAACACHTuJAmQDYQzwCAABmBAAADgAAAAAAAAABACAAAAAq&#10;AQAAZHJzL2Uyb0RvYy54bWxQSwUGAAAAAAYABgBZAQAA2AUAAAAA&#10;">
              <v:fill on="f" focussize="0,0"/>
              <v:stroke on="f" weight="0.5pt"/>
              <v:imagedata o:title=""/>
              <o:lock v:ext="edit" aspectratio="f"/>
              <v:textbox>
                <w:txbxContent>
                  <w:p w14:paraId="7F0F0EF6">
                    <w:pPr>
                      <w:rPr>
                        <w:rFonts w:hint="default"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lang w:val="en-US" w:eastAsia="zh-CN"/>
                        <w14:shadow w14:blurRad="38100" w14:dist="19050" w14:dir="2700000" w14:sx="100000" w14:sy="100000" w14:kx="0" w14:ky="0" w14:algn="tl">
                          <w14:schemeClr w14:val="dk1">
                            <w14:alpha w14:val="60000"/>
                          </w14:schemeClr>
                        </w14:shadow>
                        <w14:props3d w14:extrusionH="0" w14:contourW="0" w14:prstMaterial="clear"/>
                      </w:rPr>
                      <w:t>817-1</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3613150</wp:posOffset>
              </wp:positionH>
              <wp:positionV relativeFrom="paragraph">
                <wp:posOffset>440055</wp:posOffset>
              </wp:positionV>
              <wp:extent cx="1828800" cy="46037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60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4.5pt;margin-top:34.65pt;height:36.25pt;width:144pt;mso-wrap-style:none;z-index:251661312;mso-width-relative:page;mso-height-relative:page;" filled="f" stroked="f" coordsize="21600,21600" o:gfxdata="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&#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iccQncAAAACgEAAA8AAAAAAAAAAQAgAAAAIgAAAGRy&#10;cy9kb3ducmV2LnhtbFBLAQIUABQAAAAIAIdO4kBUPkk3OgIAAGQEAAAOAAAAAAAAAAEAIAAAACsB&#10;AABkcnMvZTJvRG9jLnhtbFBLBQYAAAAABgAGAFkBAADXBQAAAAA=&#10;">
              <v:fill on="f" focussize="0,0"/>
              <v:stroke on="f" weight="0.5pt"/>
              <v:imagedata o:title=""/>
              <o:lock v:ext="edit" aspectratio="f"/>
              <v:textbox>
                <w:txbxContent>
                  <w:p w14:paraId="1C677FE1">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59460" cy="864235"/>
          <wp:effectExtent l="0" t="0" r="2540" b="12065"/>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59460" cy="864235"/>
                  </a:xfrm>
                  <a:prstGeom prst="rect">
                    <a:avLst/>
                  </a:prstGeom>
                </pic:spPr>
              </pic:pic>
            </a:graphicData>
          </a:graphic>
        </wp:inline>
      </w:drawing>
    </w:r>
    <w:r>
      <w:rPr>
        <w:rFonts w:ascii="微软雅黑" w:hAnsi="微软雅黑" w:eastAsia="微软雅黑" w:cs="微软雅黑"/>
        <w:szCs w:val="21"/>
      </w:rPr>
      <w:drawing>
        <wp:inline distT="0" distB="0" distL="0" distR="0">
          <wp:extent cx="2945130" cy="476250"/>
          <wp:effectExtent l="0" t="0" r="7620"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945130" cy="476250"/>
                  </a:xfrm>
                  <a:prstGeom prst="rect">
                    <a:avLst/>
                  </a:prstGeom>
                </pic:spPr>
              </pic:pic>
            </a:graphicData>
          </a:graphic>
        </wp:inline>
      </w:drawing>
    </w:r>
    <w:r>
      <w:rPr>
        <w:rFonts w:hint="eastAsia" w:ascii="微软雅黑" w:hAnsi="微软雅黑" w:eastAsia="微软雅黑" w:cs="微软雅黑"/>
        <w:szCs w:val="21"/>
        <w:lang w:eastAsia="zh-CN"/>
      </w:rPr>
      <w:tab/>
    </w:r>
  </w:p>
  <w:p w14:paraId="1FCAD01F">
    <w:pPr>
      <w:pStyle w:val="5"/>
      <w:rPr>
        <w:sz w:val="10"/>
        <w:szCs w:val="10"/>
      </w:rPr>
    </w:pPr>
    <w:bookmarkStart w:id="0" w:name="_GoBack"/>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94F0D9"/>
    <w:multiLevelType w:val="singleLevel"/>
    <w:tmpl w:val="2F94F0D9"/>
    <w:lvl w:ilvl="0" w:tentative="0">
      <w:start w:val="1"/>
      <w:numFmt w:val="decimal"/>
      <w:lvlText w:val="%1."/>
      <w:lvlJc w:val="left"/>
      <w:pPr>
        <w:ind w:left="425" w:hanging="425"/>
      </w:pPr>
      <w:rPr>
        <w:rFonts w:hint="default"/>
      </w:rPr>
    </w:lvl>
  </w:abstractNum>
  <w:abstractNum w:abstractNumId="1">
    <w:nsid w:val="3321FCB0"/>
    <w:multiLevelType w:val="singleLevel"/>
    <w:tmpl w:val="3321FCB0"/>
    <w:lvl w:ilvl="0" w:tentative="0">
      <w:start w:val="1"/>
      <w:numFmt w:val="decimal"/>
      <w:lvlText w:val="%1."/>
      <w:lvlJc w:val="left"/>
      <w:pPr>
        <w:ind w:left="425" w:hanging="425"/>
      </w:pPr>
      <w:rPr>
        <w:rFonts w:hint="default"/>
      </w:rPr>
    </w:lvl>
  </w:abstractNum>
  <w:abstractNum w:abstractNumId="2">
    <w:nsid w:val="633E694B"/>
    <w:multiLevelType w:val="singleLevel"/>
    <w:tmpl w:val="633E694B"/>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65969"/>
    <w:rsid w:val="00136635"/>
    <w:rsid w:val="00156019"/>
    <w:rsid w:val="00196D11"/>
    <w:rsid w:val="00296707"/>
    <w:rsid w:val="002F6D5B"/>
    <w:rsid w:val="003077D5"/>
    <w:rsid w:val="00323E68"/>
    <w:rsid w:val="003550AC"/>
    <w:rsid w:val="00455912"/>
    <w:rsid w:val="004E10FB"/>
    <w:rsid w:val="00505831"/>
    <w:rsid w:val="00527365"/>
    <w:rsid w:val="00655A0D"/>
    <w:rsid w:val="00760684"/>
    <w:rsid w:val="008543E0"/>
    <w:rsid w:val="00867CB0"/>
    <w:rsid w:val="00872A05"/>
    <w:rsid w:val="008946E7"/>
    <w:rsid w:val="00912B14"/>
    <w:rsid w:val="0097112D"/>
    <w:rsid w:val="00977CD2"/>
    <w:rsid w:val="00AD4610"/>
    <w:rsid w:val="00B75CD4"/>
    <w:rsid w:val="00B75EDD"/>
    <w:rsid w:val="00B8747E"/>
    <w:rsid w:val="00C81B08"/>
    <w:rsid w:val="00C84726"/>
    <w:rsid w:val="00CC1D64"/>
    <w:rsid w:val="00CE391E"/>
    <w:rsid w:val="00D926C1"/>
    <w:rsid w:val="00DC3628"/>
    <w:rsid w:val="00E76590"/>
    <w:rsid w:val="00EA7C31"/>
    <w:rsid w:val="00F02A8D"/>
    <w:rsid w:val="00F253D2"/>
    <w:rsid w:val="00F82330"/>
    <w:rsid w:val="00FF31FE"/>
    <w:rsid w:val="00FF4990"/>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89F78FC"/>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271E3B"/>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39F6D8F"/>
    <w:rsid w:val="3424477C"/>
    <w:rsid w:val="34B166F0"/>
    <w:rsid w:val="34C65B5C"/>
    <w:rsid w:val="34CF6B76"/>
    <w:rsid w:val="34DE1BBE"/>
    <w:rsid w:val="3538471B"/>
    <w:rsid w:val="358F0212"/>
    <w:rsid w:val="362F0630"/>
    <w:rsid w:val="366B0946"/>
    <w:rsid w:val="366E5B00"/>
    <w:rsid w:val="37076A9B"/>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5AC0D9E"/>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B611518"/>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4AE17C4"/>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AF76D8"/>
    <w:rsid w:val="60F670B5"/>
    <w:rsid w:val="61577E9E"/>
    <w:rsid w:val="61AB4343"/>
    <w:rsid w:val="61D9780F"/>
    <w:rsid w:val="6223037D"/>
    <w:rsid w:val="62610BBD"/>
    <w:rsid w:val="6292369A"/>
    <w:rsid w:val="62B66AFB"/>
    <w:rsid w:val="62F13FD7"/>
    <w:rsid w:val="63A9762F"/>
    <w:rsid w:val="642F7C07"/>
    <w:rsid w:val="643E324C"/>
    <w:rsid w:val="64A01EB8"/>
    <w:rsid w:val="6535464F"/>
    <w:rsid w:val="6578169E"/>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1D5E3D"/>
    <w:rsid w:val="6C554405"/>
    <w:rsid w:val="6C7864D8"/>
    <w:rsid w:val="6CA67BE1"/>
    <w:rsid w:val="6D5957F1"/>
    <w:rsid w:val="6DBD689D"/>
    <w:rsid w:val="6E114605"/>
    <w:rsid w:val="6E230A25"/>
    <w:rsid w:val="6E30521A"/>
    <w:rsid w:val="6E4F6056"/>
    <w:rsid w:val="6E70494A"/>
    <w:rsid w:val="6E9D3265"/>
    <w:rsid w:val="6F3C482C"/>
    <w:rsid w:val="6FC1690D"/>
    <w:rsid w:val="6FCA008A"/>
    <w:rsid w:val="6FDA5069"/>
    <w:rsid w:val="701E3F32"/>
    <w:rsid w:val="70AC59E2"/>
    <w:rsid w:val="71530C3F"/>
    <w:rsid w:val="716449CA"/>
    <w:rsid w:val="716A04B8"/>
    <w:rsid w:val="71FA7527"/>
    <w:rsid w:val="73155AC0"/>
    <w:rsid w:val="7315786E"/>
    <w:rsid w:val="73972979"/>
    <w:rsid w:val="739764D5"/>
    <w:rsid w:val="74784559"/>
    <w:rsid w:val="751319A5"/>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CC575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646</Words>
  <Characters>772</Characters>
  <Lines>59</Lines>
  <Paragraphs>58</Paragraphs>
  <TotalTime>1</TotalTime>
  <ScaleCrop>false</ScaleCrop>
  <LinksUpToDate>false</LinksUpToDate>
  <CharactersWithSpaces>786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2025-09-16T01:44:00Z</dcterms:created>
  <dc:creator>Davis</dc:creator>
  <cp:lastModifiedBy>戴眼镜的麻杆。</cp:lastModifiedBy>
  <cp:lastPrinted>2024-06-20T10:29:00Z</cp:lastPrinted>
  <dcterms:modified xsi:type="dcterms:W3CDTF">2026-04-14T02:52:50Z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11318A0E33174E2F96D3980B968B41D1_13</vt:lpwstr>
  </property>
  <property fmtid="{D5CDD505-2E9C-101B-9397-08002B2CF9AE}" pid="4" name="KSOTemplateDocerSaveRecord">
    <vt:lpwstr>eyJoZGlkIjoiN2FkMmFjNTIzYTc2MzM4YzI5MjhhZjFlYzFlYTkyNWUiLCJ1c2VySWQiOiIxMTk5MzAzNjYzIn0=</vt:lpwstr>
  </property>
</Properties>
</file>