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A41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rPr>
        <w:t>Product Technical Specification</w:t>
      </w:r>
    </w:p>
    <w:p w14:paraId="11D07D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rPr>
      </w:pPr>
      <w:r>
        <w:rPr>
          <w:rFonts w:hint="default" w:ascii="Arial" w:hAnsi="Arial" w:cs="Arial"/>
          <w:color w:val="000000"/>
          <w:sz w:val="28"/>
          <w:szCs w:val="28"/>
        </w:rPr>
        <w:t>Product Introduction</w:t>
      </w:r>
    </w:p>
    <w:p w14:paraId="76937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HEUR-</w:t>
      </w:r>
      <w:r>
        <w:rPr>
          <w:rFonts w:hint="eastAsia" w:ascii="Arial" w:hAnsi="Arial" w:cs="Arial"/>
          <w:color w:val="000000"/>
          <w:kern w:val="0"/>
          <w:sz w:val="24"/>
          <w:szCs w:val="24"/>
          <w:lang w:val="en-US" w:eastAsia="zh-CN" w:bidi="ar"/>
        </w:rPr>
        <w:t>540</w:t>
      </w:r>
      <w:r>
        <w:rPr>
          <w:rFonts w:hint="default" w:ascii="Arial" w:hAnsi="Arial" w:eastAsia="宋体" w:cs="Arial"/>
          <w:color w:val="000000"/>
          <w:kern w:val="0"/>
          <w:sz w:val="24"/>
          <w:szCs w:val="24"/>
          <w:lang w:val="en-US" w:eastAsia="zh-CN" w:bidi="ar"/>
        </w:rPr>
        <w:t>A is a liquid water-based thickener with polyurethane components, featuring medium and low shear performance and easy application. It outperforms traditional cellulose-based thickeners (e.g., HEC hydroxyethyl cellulose, MC methyl cellulose, etc.) and acrylic thickeners in leveling property, film gloss and water resistance.</w:t>
      </w:r>
    </w:p>
    <w:p w14:paraId="258F33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Technical Parameters*</w:t>
      </w:r>
    </w:p>
    <w:tbl>
      <w:tblPr>
        <w:tblStyle w:val="6"/>
        <w:tblW w:w="90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69"/>
        <w:gridCol w:w="6490"/>
      </w:tblGrid>
      <w:tr w14:paraId="04892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exact"/>
          <w:tblHeader/>
        </w:trPr>
        <w:tc>
          <w:tcPr>
            <w:tcW w:w="0" w:type="auto"/>
            <w:tcBorders>
              <w:top w:val="single" w:color="000000" w:themeColor="text1" w:sz="8" w:space="0"/>
              <w:left w:val="nil"/>
              <w:bottom w:val="single" w:color="000000" w:themeColor="text1" w:sz="8" w:space="0"/>
              <w:right w:val="nil"/>
            </w:tcBorders>
            <w:shd w:val="clear" w:color="auto" w:fill="auto"/>
            <w:tcMar>
              <w:top w:w="120" w:type="dxa"/>
              <w:left w:w="120" w:type="dxa"/>
              <w:bottom w:w="120" w:type="dxa"/>
              <w:right w:w="120" w:type="dxa"/>
            </w:tcMar>
            <w:vAlign w:val="center"/>
          </w:tcPr>
          <w:p w14:paraId="4A6E66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default" w:ascii="Arial" w:hAnsi="Arial" w:cs="Arial"/>
                <w:b/>
                <w:bCs/>
                <w:color w:val="000000"/>
                <w:sz w:val="28"/>
                <w:szCs w:val="28"/>
                <w:lang w:val="en-US" w:eastAsia="zh-CN"/>
              </w:rPr>
            </w:pPr>
            <w:bookmarkStart w:id="0" w:name="_GoBack" w:colFirst="0" w:colLast="1"/>
            <w:r>
              <w:rPr>
                <w:rFonts w:hint="default" w:ascii="Arial" w:hAnsi="Arial" w:cs="Arial"/>
                <w:b/>
                <w:bCs/>
                <w:color w:val="000000"/>
                <w:sz w:val="28"/>
                <w:szCs w:val="28"/>
                <w:lang w:val="en-US" w:eastAsia="zh-CN"/>
              </w:rPr>
              <w:t>Item</w:t>
            </w:r>
          </w:p>
        </w:tc>
        <w:tc>
          <w:tcPr>
            <w:tcW w:w="0" w:type="auto"/>
            <w:tcBorders>
              <w:top w:val="single" w:color="000000" w:themeColor="text1" w:sz="8" w:space="0"/>
              <w:left w:val="nil"/>
              <w:bottom w:val="single" w:color="000000" w:themeColor="text1" w:sz="8" w:space="0"/>
              <w:right w:val="nil"/>
            </w:tcBorders>
            <w:shd w:val="clear" w:color="auto" w:fill="auto"/>
            <w:tcMar>
              <w:top w:w="120" w:type="dxa"/>
              <w:left w:w="120" w:type="dxa"/>
              <w:bottom w:w="120" w:type="dxa"/>
              <w:right w:w="120" w:type="dxa"/>
            </w:tcMar>
            <w:vAlign w:val="center"/>
          </w:tcPr>
          <w:p w14:paraId="53A004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default" w:ascii="Arial" w:hAnsi="Arial" w:cs="Arial"/>
                <w:b/>
                <w:bCs/>
                <w:color w:val="000000"/>
                <w:sz w:val="28"/>
                <w:szCs w:val="28"/>
                <w:lang w:val="en-US" w:eastAsia="zh-CN"/>
              </w:rPr>
            </w:pPr>
            <w:r>
              <w:rPr>
                <w:rFonts w:hint="default" w:ascii="Arial" w:hAnsi="Arial" w:cs="Arial"/>
                <w:b/>
                <w:bCs/>
                <w:color w:val="000000"/>
                <w:sz w:val="28"/>
                <w:szCs w:val="28"/>
                <w:lang w:val="en-US" w:eastAsia="zh-CN"/>
              </w:rPr>
              <w:t>Specification</w:t>
            </w:r>
          </w:p>
        </w:tc>
      </w:tr>
      <w:tr w14:paraId="49AD2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0" w:type="auto"/>
            <w:tcBorders>
              <w:top w:val="single" w:color="000000" w:themeColor="text1" w:sz="8" w:space="0"/>
              <w:left w:val="nil"/>
              <w:bottom w:val="nil"/>
              <w:right w:val="nil"/>
            </w:tcBorders>
            <w:shd w:val="clear" w:color="auto" w:fill="auto"/>
            <w:tcMar>
              <w:top w:w="120" w:type="dxa"/>
              <w:left w:w="120" w:type="dxa"/>
              <w:bottom w:w="120" w:type="dxa"/>
              <w:right w:w="120" w:type="dxa"/>
            </w:tcMar>
            <w:vAlign w:val="center"/>
          </w:tcPr>
          <w:p w14:paraId="3ED13F3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Appearance</w:t>
            </w:r>
          </w:p>
        </w:tc>
        <w:tc>
          <w:tcPr>
            <w:tcW w:w="0" w:type="auto"/>
            <w:tcBorders>
              <w:top w:val="single" w:color="000000" w:themeColor="text1" w:sz="8" w:space="0"/>
              <w:left w:val="nil"/>
              <w:bottom w:val="nil"/>
              <w:right w:val="nil"/>
            </w:tcBorders>
            <w:shd w:val="clear" w:color="auto" w:fill="auto"/>
            <w:tcMar>
              <w:top w:w="120" w:type="dxa"/>
              <w:left w:w="120" w:type="dxa"/>
              <w:bottom w:w="120" w:type="dxa"/>
              <w:right w:w="120" w:type="dxa"/>
            </w:tcMar>
            <w:vAlign w:val="center"/>
          </w:tcPr>
          <w:p w14:paraId="0A20B2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Colorless or pale yellow transparent liquid</w:t>
            </w:r>
          </w:p>
        </w:tc>
      </w:tr>
      <w:tr w14:paraId="0AB69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0" w:type="auto"/>
            <w:tcBorders>
              <w:top w:val="nil"/>
              <w:left w:val="nil"/>
              <w:bottom w:val="nil"/>
              <w:right w:val="nil"/>
            </w:tcBorders>
            <w:shd w:val="clear" w:color="auto" w:fill="auto"/>
            <w:tcMar>
              <w:top w:w="120" w:type="dxa"/>
              <w:left w:w="120" w:type="dxa"/>
              <w:bottom w:w="120" w:type="dxa"/>
              <w:right w:w="120" w:type="dxa"/>
            </w:tcMar>
            <w:vAlign w:val="center"/>
          </w:tcPr>
          <w:p w14:paraId="180F86D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Solid content</w:t>
            </w:r>
          </w:p>
        </w:tc>
        <w:tc>
          <w:tcPr>
            <w:tcW w:w="0" w:type="auto"/>
            <w:tcBorders>
              <w:top w:val="nil"/>
              <w:left w:val="nil"/>
              <w:bottom w:val="nil"/>
              <w:right w:val="nil"/>
            </w:tcBorders>
            <w:shd w:val="clear" w:color="auto" w:fill="auto"/>
            <w:tcMar>
              <w:top w:w="120" w:type="dxa"/>
              <w:left w:w="120" w:type="dxa"/>
              <w:bottom w:w="120" w:type="dxa"/>
              <w:right w:w="120" w:type="dxa"/>
            </w:tcMar>
            <w:vAlign w:val="center"/>
          </w:tcPr>
          <w:p w14:paraId="6FC157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50%±1%, 40%±1%</w:t>
            </w:r>
          </w:p>
        </w:tc>
      </w:tr>
      <w:tr w14:paraId="38FC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0" w:type="auto"/>
            <w:tcBorders>
              <w:top w:val="nil"/>
              <w:left w:val="nil"/>
              <w:bottom w:val="nil"/>
              <w:right w:val="nil"/>
            </w:tcBorders>
            <w:shd w:val="clear" w:color="auto" w:fill="auto"/>
            <w:tcMar>
              <w:top w:w="120" w:type="dxa"/>
              <w:left w:w="120" w:type="dxa"/>
              <w:bottom w:w="120" w:type="dxa"/>
              <w:right w:w="120" w:type="dxa"/>
            </w:tcMar>
            <w:vAlign w:val="center"/>
          </w:tcPr>
          <w:p w14:paraId="746AD7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Colloid charge</w:t>
            </w:r>
          </w:p>
        </w:tc>
        <w:tc>
          <w:tcPr>
            <w:tcW w:w="0" w:type="auto"/>
            <w:tcBorders>
              <w:top w:val="nil"/>
              <w:left w:val="nil"/>
              <w:bottom w:val="nil"/>
              <w:right w:val="nil"/>
            </w:tcBorders>
            <w:shd w:val="clear" w:color="auto" w:fill="auto"/>
            <w:tcMar>
              <w:top w:w="120" w:type="dxa"/>
              <w:left w:w="120" w:type="dxa"/>
              <w:bottom w:w="120" w:type="dxa"/>
              <w:right w:w="120" w:type="dxa"/>
            </w:tcMar>
            <w:vAlign w:val="center"/>
          </w:tcPr>
          <w:p w14:paraId="6581FC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Non-ionic</w:t>
            </w:r>
          </w:p>
        </w:tc>
      </w:tr>
      <w:tr w14:paraId="6ED65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0" w:type="auto"/>
            <w:tcBorders>
              <w:top w:val="nil"/>
              <w:left w:val="nil"/>
              <w:bottom w:val="nil"/>
              <w:right w:val="nil"/>
            </w:tcBorders>
            <w:shd w:val="clear" w:color="auto" w:fill="auto"/>
            <w:tcMar>
              <w:top w:w="120" w:type="dxa"/>
              <w:left w:w="120" w:type="dxa"/>
              <w:bottom w:w="120" w:type="dxa"/>
              <w:right w:w="120" w:type="dxa"/>
            </w:tcMar>
            <w:vAlign w:val="center"/>
          </w:tcPr>
          <w:p w14:paraId="5EEE4A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Viscosity</w:t>
            </w:r>
          </w:p>
        </w:tc>
        <w:tc>
          <w:tcPr>
            <w:tcW w:w="0" w:type="auto"/>
            <w:tcBorders>
              <w:top w:val="nil"/>
              <w:left w:val="nil"/>
              <w:bottom w:val="nil"/>
              <w:right w:val="nil"/>
            </w:tcBorders>
            <w:shd w:val="clear" w:color="auto" w:fill="auto"/>
            <w:tcMar>
              <w:top w:w="120" w:type="dxa"/>
              <w:left w:w="120" w:type="dxa"/>
              <w:bottom w:w="120" w:type="dxa"/>
              <w:right w:w="120" w:type="dxa"/>
            </w:tcMar>
            <w:vAlign w:val="center"/>
          </w:tcPr>
          <w:p w14:paraId="59569A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10000-15000 mPa·s (25℃)</w:t>
            </w:r>
          </w:p>
        </w:tc>
      </w:tr>
      <w:tr w14:paraId="74D48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0" w:type="auto"/>
            <w:tcBorders>
              <w:top w:val="nil"/>
              <w:left w:val="nil"/>
              <w:bottom w:val="single" w:color="000000" w:themeColor="text1" w:sz="8" w:space="0"/>
              <w:right w:val="nil"/>
            </w:tcBorders>
            <w:shd w:val="clear" w:color="auto" w:fill="auto"/>
            <w:tcMar>
              <w:top w:w="120" w:type="dxa"/>
              <w:left w:w="120" w:type="dxa"/>
              <w:bottom w:w="120" w:type="dxa"/>
              <w:right w:w="120" w:type="dxa"/>
            </w:tcMar>
            <w:vAlign w:val="center"/>
          </w:tcPr>
          <w:p w14:paraId="2D1447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Specific gravity</w:t>
            </w:r>
          </w:p>
        </w:tc>
        <w:tc>
          <w:tcPr>
            <w:tcW w:w="0" w:type="auto"/>
            <w:tcBorders>
              <w:top w:val="nil"/>
              <w:left w:val="nil"/>
              <w:bottom w:val="single" w:color="000000" w:themeColor="text1" w:sz="8" w:space="0"/>
              <w:right w:val="nil"/>
            </w:tcBorders>
            <w:shd w:val="clear" w:color="auto" w:fill="auto"/>
            <w:tcMar>
              <w:top w:w="120" w:type="dxa"/>
              <w:left w:w="120" w:type="dxa"/>
              <w:bottom w:w="120" w:type="dxa"/>
              <w:right w:w="120" w:type="dxa"/>
            </w:tcMar>
            <w:vAlign w:val="center"/>
          </w:tcPr>
          <w:p w14:paraId="49E680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default" w:ascii="Arial" w:hAnsi="Arial" w:cs="Arial"/>
                <w:color w:val="000000"/>
                <w:sz w:val="24"/>
                <w:szCs w:val="24"/>
                <w:lang w:val="en-US" w:eastAsia="zh-CN"/>
              </w:rPr>
            </w:pPr>
            <w:r>
              <w:rPr>
                <w:rFonts w:hint="default" w:ascii="Arial" w:hAnsi="Arial" w:cs="Arial"/>
                <w:color w:val="000000"/>
                <w:sz w:val="24"/>
                <w:szCs w:val="24"/>
                <w:lang w:val="en-US" w:eastAsia="zh-CN"/>
              </w:rPr>
              <w:t>1.02-1.06 g/cm³</w:t>
            </w:r>
          </w:p>
        </w:tc>
      </w:tr>
      <w:bookmarkEnd w:id="0"/>
    </w:tbl>
    <w:p w14:paraId="6277ED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1C8F82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Application Scope</w:t>
      </w:r>
    </w:p>
    <w:p w14:paraId="73C866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It is widely used in water-based coatings, water-based adhesives, water-based inks, textile coatings, leather finishing and other fields.</w:t>
      </w:r>
    </w:p>
    <w:p w14:paraId="661F67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0BA05E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80" w:firstLineChars="200"/>
        <w:rPr>
          <w:rFonts w:hint="default" w:ascii="Arial" w:hAnsi="Arial" w:eastAsia="宋体" w:cs="Arial"/>
          <w:b w:val="0"/>
          <w:bCs w:val="0"/>
          <w:color w:val="000000"/>
          <w:kern w:val="0"/>
          <w:sz w:val="24"/>
          <w:szCs w:val="24"/>
          <w:lang w:val="en-US" w:eastAsia="zh-CN" w:bidi="ar"/>
        </w:rPr>
      </w:pPr>
      <w:r>
        <w:rPr>
          <w:rFonts w:hint="default" w:ascii="Arial" w:hAnsi="Arial" w:cs="Arial"/>
          <w:b w:val="0"/>
          <w:bCs w:val="0"/>
          <w:color w:val="000000"/>
          <w:kern w:val="0"/>
          <w:sz w:val="24"/>
          <w:szCs w:val="24"/>
          <w:lang w:val="en-US" w:eastAsia="zh-CN" w:bidi="ar"/>
        </w:rPr>
        <w:t>1.</w:t>
      </w:r>
      <w:r>
        <w:rPr>
          <w:rFonts w:hint="default" w:ascii="Arial" w:hAnsi="Arial" w:eastAsia="宋体" w:cs="Arial"/>
          <w:b w:val="0"/>
          <w:bCs w:val="0"/>
          <w:color w:val="000000"/>
          <w:kern w:val="0"/>
          <w:sz w:val="24"/>
          <w:szCs w:val="24"/>
          <w:lang w:val="en-US" w:eastAsia="zh-CN" w:bidi="ar"/>
        </w:rPr>
        <w:t>Medium and low shear thickener;</w:t>
      </w:r>
    </w:p>
    <w:p w14:paraId="1D47957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cs="Arial"/>
          <w:b w:val="0"/>
          <w:bCs w:val="0"/>
          <w:color w:val="000000"/>
          <w:kern w:val="0"/>
          <w:sz w:val="24"/>
          <w:szCs w:val="24"/>
          <w:lang w:val="en-US" w:eastAsia="zh-CN" w:bidi="ar"/>
        </w:rPr>
        <w:t>2.</w:t>
      </w:r>
      <w:r>
        <w:rPr>
          <w:rFonts w:hint="default" w:ascii="Arial" w:hAnsi="Arial" w:eastAsia="宋体" w:cs="Arial"/>
          <w:b w:val="0"/>
          <w:bCs w:val="0"/>
          <w:color w:val="000000"/>
          <w:kern w:val="0"/>
          <w:sz w:val="24"/>
          <w:szCs w:val="24"/>
          <w:lang w:val="en-US" w:eastAsia="zh-CN" w:bidi="ar"/>
        </w:rPr>
        <w:t>Excellent thickening effect, fluidity and leveling property;</w:t>
      </w:r>
    </w:p>
    <w:p w14:paraId="02AF930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cs="Arial"/>
          <w:b w:val="0"/>
          <w:bCs w:val="0"/>
          <w:color w:val="000000"/>
          <w:kern w:val="0"/>
          <w:sz w:val="24"/>
          <w:szCs w:val="24"/>
          <w:lang w:val="en-US" w:eastAsia="zh-CN" w:bidi="ar"/>
        </w:rPr>
        <w:t>3.</w:t>
      </w:r>
      <w:r>
        <w:rPr>
          <w:rFonts w:hint="default" w:ascii="Arial" w:hAnsi="Arial" w:eastAsia="宋体" w:cs="Arial"/>
          <w:b w:val="0"/>
          <w:bCs w:val="0"/>
          <w:color w:val="000000"/>
          <w:kern w:val="0"/>
          <w:sz w:val="24"/>
          <w:szCs w:val="24"/>
          <w:lang w:val="en-US" w:eastAsia="zh-CN" w:bidi="ar"/>
        </w:rPr>
        <w:t>Free of organotin, APEO and other toxic substances;</w:t>
      </w:r>
    </w:p>
    <w:p w14:paraId="3CFB54C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cs="Arial"/>
          <w:b w:val="0"/>
          <w:bCs w:val="0"/>
          <w:color w:val="000000"/>
          <w:kern w:val="0"/>
          <w:sz w:val="24"/>
          <w:szCs w:val="24"/>
          <w:lang w:val="en-US" w:eastAsia="zh-CN" w:bidi="ar"/>
        </w:rPr>
        <w:t>4.</w:t>
      </w:r>
      <w:r>
        <w:rPr>
          <w:rFonts w:hint="default" w:ascii="Arial" w:hAnsi="Arial" w:eastAsia="宋体" w:cs="Arial"/>
          <w:b w:val="0"/>
          <w:bCs w:val="0"/>
          <w:color w:val="000000"/>
          <w:kern w:val="0"/>
          <w:sz w:val="24"/>
          <w:szCs w:val="24"/>
          <w:lang w:val="en-US" w:eastAsia="zh-CN" w:bidi="ar"/>
        </w:rPr>
        <w:t>Good dispersibility, which can assist in the wetting and dispersion of pigments in the formulation;</w:t>
      </w:r>
    </w:p>
    <w:p w14:paraId="0334F89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cs="Arial"/>
          <w:b w:val="0"/>
          <w:bCs w:val="0"/>
          <w:color w:val="000000"/>
          <w:kern w:val="0"/>
          <w:sz w:val="24"/>
          <w:szCs w:val="24"/>
          <w:lang w:val="en-US" w:eastAsia="zh-CN" w:bidi="ar"/>
        </w:rPr>
        <w:t>5.</w:t>
      </w:r>
      <w:r>
        <w:rPr>
          <w:rFonts w:hint="default" w:ascii="Arial" w:hAnsi="Arial" w:eastAsia="宋体" w:cs="Arial"/>
          <w:b w:val="0"/>
          <w:bCs w:val="0"/>
          <w:color w:val="000000"/>
          <w:kern w:val="0"/>
          <w:sz w:val="24"/>
          <w:szCs w:val="24"/>
          <w:lang w:val="en-US" w:eastAsia="zh-CN" w:bidi="ar"/>
        </w:rPr>
        <w:t>Non-ionic nature, with performance unaffected by the pH value of the system;</w:t>
      </w:r>
    </w:p>
    <w:p w14:paraId="102B8DC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6.No adverse effect on the gloss of formulated products.</w:t>
      </w:r>
    </w:p>
    <w:p w14:paraId="1FDC55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Dosage and Application Method</w:t>
      </w:r>
    </w:p>
    <w:p w14:paraId="376F4F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1.Dosage: 0.2-2.0% relative to the total formulation. Prior to addition, conduct tests to determine the optimal dosage according to the system components and required fluidity. It can be diluted with water-based solvents or water for better dispersibility.</w:t>
      </w:r>
    </w:p>
    <w:p w14:paraId="4802094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2.It can be added either before or after grinding. It is recommended to add a portion in the early stage and the rest in the later stage.</w:t>
      </w:r>
    </w:p>
    <w:p w14:paraId="54FB146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3.Pre-dilution is not required before use for dispersibility. If dilution is needed, water-based solvents can be used.</w:t>
      </w:r>
    </w:p>
    <w:p w14:paraId="36DF35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Notes</w:t>
      </w:r>
    </w:p>
    <w:p w14:paraId="2DD0CA1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1.Associative thickening is affected by temperature: the viscosity is higher at low temperatures and lower at high temperatures. Temperature conditions should be considered when designing the formulation.</w:t>
      </w:r>
    </w:p>
    <w:p w14:paraId="67085C2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2.Re-test shall be conducted when the batch of thickened raw materials is changed to confirm the dosage of the thickener.</w:t>
      </w:r>
    </w:p>
    <w:p w14:paraId="79EAA30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b w:val="0"/>
          <w:bCs w:val="0"/>
          <w:color w:val="000000"/>
          <w:kern w:val="0"/>
          <w:sz w:val="24"/>
          <w:szCs w:val="24"/>
          <w:lang w:val="en-US" w:eastAsia="zh-CN" w:bidi="ar"/>
        </w:rPr>
      </w:pPr>
      <w:r>
        <w:rPr>
          <w:rFonts w:hint="default" w:ascii="Arial" w:hAnsi="Arial" w:eastAsia="宋体" w:cs="Arial"/>
          <w:b w:val="0"/>
          <w:bCs w:val="0"/>
          <w:color w:val="000000"/>
          <w:kern w:val="0"/>
          <w:sz w:val="24"/>
          <w:szCs w:val="24"/>
          <w:lang w:val="en-US" w:eastAsia="zh-CN" w:bidi="ar"/>
        </w:rPr>
        <w:t>3.This product may crystallize at low temperatures, and crystallization does not affect product performance. If crystallization occurs, heat the product to melt the crystals before use.</w:t>
      </w:r>
    </w:p>
    <w:p w14:paraId="2359513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Storage and Shelf Life</w:t>
      </w:r>
    </w:p>
    <w:p w14:paraId="04551F7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default" w:ascii="Arial" w:hAnsi="Arial" w:cs="Arial"/>
          <w:color w:val="000000"/>
          <w:sz w:val="24"/>
          <w:szCs w:val="24"/>
          <w:lang w:val="en-US" w:eastAsia="zh-CN"/>
        </w:rPr>
        <w:t>1.</w:t>
      </w:r>
      <w:r>
        <w:rPr>
          <w:rFonts w:hint="default" w:ascii="Arial" w:hAnsi="Arial" w:cs="Arial"/>
          <w:color w:val="000000"/>
          <w:sz w:val="24"/>
          <w:szCs w:val="24"/>
        </w:rPr>
        <w:t>Store in the original sealed container;</w:t>
      </w:r>
    </w:p>
    <w:p w14:paraId="084E6C7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default" w:ascii="Arial" w:hAnsi="Arial" w:cs="Arial"/>
          <w:color w:val="000000"/>
          <w:sz w:val="24"/>
          <w:szCs w:val="24"/>
          <w:lang w:val="en-US" w:eastAsia="zh-CN"/>
        </w:rPr>
        <w:t>2.</w:t>
      </w:r>
      <w:r>
        <w:rPr>
          <w:rFonts w:hint="default" w:ascii="Arial" w:hAnsi="Arial" w:cs="Arial"/>
          <w:color w:val="000000"/>
          <w:sz w:val="24"/>
          <w:szCs w:val="24"/>
        </w:rPr>
        <w:t>Recommended storage temperature: 6-28℃;</w:t>
      </w:r>
    </w:p>
    <w:p w14:paraId="37440B1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default" w:ascii="Arial" w:hAnsi="Arial" w:cs="Arial"/>
          <w:color w:val="000000"/>
          <w:sz w:val="24"/>
          <w:szCs w:val="24"/>
          <w:lang w:val="en-US" w:eastAsia="zh-CN"/>
        </w:rPr>
        <w:t>3.</w:t>
      </w:r>
      <w:r>
        <w:rPr>
          <w:rFonts w:hint="default" w:ascii="Arial" w:hAnsi="Arial" w:cs="Arial"/>
          <w:color w:val="000000"/>
          <w:sz w:val="24"/>
          <w:szCs w:val="24"/>
        </w:rPr>
        <w:t>Must be used up within 12 months from the date of production;</w:t>
      </w:r>
    </w:p>
    <w:p w14:paraId="6C2C7BB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default" w:ascii="Arial" w:hAnsi="Arial" w:cs="Arial"/>
          <w:color w:val="000000"/>
          <w:sz w:val="24"/>
          <w:szCs w:val="24"/>
          <w:lang w:val="en-US" w:eastAsia="zh-CN"/>
        </w:rPr>
        <w:t>4.</w:t>
      </w:r>
      <w:r>
        <w:rPr>
          <w:rFonts w:hint="default" w:ascii="Arial" w:hAnsi="Arial" w:cs="Arial"/>
          <w:color w:val="000000"/>
          <w:sz w:val="24"/>
          <w:szCs w:val="24"/>
        </w:rPr>
        <w:t>Avoid direct sunlight and contamination by other substances.</w:t>
      </w:r>
    </w:p>
    <w:p w14:paraId="545E2B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Packaging</w:t>
      </w:r>
    </w:p>
    <w:p w14:paraId="41CD74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Available in 50kg, 125kg and IBC ton drum packaging. Customized packaging can be provided according to customer requirements.</w:t>
      </w:r>
    </w:p>
    <w:p w14:paraId="0AEB38F0">
      <w:pPr>
        <w:tabs>
          <w:tab w:val="left" w:pos="720"/>
          <w:tab w:val="left" w:pos="1980"/>
        </w:tabs>
        <w:spacing w:line="360" w:lineRule="auto"/>
        <w:rPr>
          <w:rFonts w:hint="default" w:ascii="Arial" w:hAnsi="Arial" w:eastAsia="微软雅黑" w:cs="Arial"/>
          <w:spacing w:val="-4"/>
          <w:sz w:val="24"/>
        </w:rPr>
      </w:pPr>
    </w:p>
    <w:p w14:paraId="7AAA8BB6">
      <w:pPr>
        <w:tabs>
          <w:tab w:val="left" w:pos="720"/>
          <w:tab w:val="left" w:pos="1980"/>
        </w:tabs>
        <w:spacing w:line="360" w:lineRule="auto"/>
        <w:rPr>
          <w:rFonts w:hint="default" w:ascii="Arial" w:hAnsi="Arial" w:eastAsia="微软雅黑" w:cs="Arial"/>
          <w:spacing w:val="-4"/>
          <w:sz w:val="24"/>
        </w:rPr>
      </w:pPr>
    </w:p>
    <w:p w14:paraId="77B340FC">
      <w:pPr>
        <w:tabs>
          <w:tab w:val="left" w:pos="720"/>
          <w:tab w:val="left" w:pos="1980"/>
        </w:tabs>
        <w:spacing w:line="360" w:lineRule="auto"/>
        <w:rPr>
          <w:rFonts w:hint="default" w:ascii="Arial" w:hAnsi="Arial" w:eastAsia="微软雅黑" w:cs="Arial"/>
          <w:spacing w:val="-4"/>
          <w:sz w:val="24"/>
        </w:rPr>
      </w:pPr>
    </w:p>
    <w:p w14:paraId="420AA0B5">
      <w:pPr>
        <w:tabs>
          <w:tab w:val="left" w:pos="720"/>
          <w:tab w:val="left" w:pos="1980"/>
        </w:tabs>
        <w:spacing w:line="360" w:lineRule="auto"/>
        <w:rPr>
          <w:rFonts w:hint="default" w:ascii="Arial" w:hAnsi="Arial" w:eastAsia="微软雅黑" w:cs="Arial"/>
          <w:spacing w:val="-4"/>
          <w:sz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717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FE60C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微软雅黑" w:cs="Arial"/>
                <w:b/>
                <w:bCs/>
                <w:sz w:val="24"/>
              </w:rPr>
            </w:pPr>
            <w:r>
              <w:rPr>
                <w:rFonts w:hint="default" w:ascii="Arial" w:hAnsi="Arial" w:cs="Arial"/>
                <w:color w:val="000000"/>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0FBD5629">
      <w:pPr>
        <w:pStyle w:val="10"/>
        <w:rPr>
          <w:rFonts w:hint="default" w:ascii="Arial" w:hAnsi="Arial" w:eastAsia="微软雅黑" w:cs="Arial"/>
          <w:b/>
          <w:bCs/>
        </w:rPr>
      </w:pPr>
    </w:p>
    <w:sectPr>
      <w:headerReference r:id="rId3" w:type="default"/>
      <w:footerReference r:id="rId4" w:type="default"/>
      <w:type w:val="continuous"/>
      <w:pgSz w:w="11906" w:h="16838"/>
      <w:pgMar w:top="850" w:right="1417" w:bottom="850" w:left="1417" w:header="851" w:footer="624"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AA68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B31E86">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0AB31E86">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ABE40">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margin">
                <wp:posOffset>3898265</wp:posOffset>
              </wp:positionH>
              <wp:positionV relativeFrom="paragraph">
                <wp:posOffset>-33655</wp:posOffset>
              </wp:positionV>
              <wp:extent cx="212534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25531"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7DA6A">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HEUR-540A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6.95pt;margin-top:-2.65pt;height:48.75pt;width:167.35pt;mso-position-horizontal-relative:margin;z-index:251659264;mso-width-relative:page;mso-height-relative:page;" filled="f" stroked="f" coordsize="21600,21600" o:gfxdata="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boRnDNsAAAAJAQAADwAAAAAAAAABACAAAAAiAAAAZHJz&#10;L2Rvd25yZXYueG1sUEsBAhQAFAAAAAgAh07iQBwYtco6AgAAZgQAAA4AAAAAAAAAAQAgAAAAKgEA&#10;AGRycy9lMm9Eb2MueG1sUEsFBgAAAAAGAAYAWQEAANYFAAAAAA==&#10;">
              <v:fill on="f" focussize="0,0"/>
              <v:stroke on="f" weight="0.5pt"/>
              <v:imagedata o:title=""/>
              <o:lock v:ext="edit" aspectratio="f"/>
              <v:textbox>
                <w:txbxContent>
                  <w:p w14:paraId="60B7DA6A">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HEUR-540A</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margin">
                <wp:posOffset>3603625</wp:posOffset>
              </wp:positionH>
              <wp:positionV relativeFrom="paragraph">
                <wp:posOffset>514985</wp:posOffset>
              </wp:positionV>
              <wp:extent cx="1828800" cy="36512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365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74EF8">
                          <w:pPr>
                            <w:jc w:val="cente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3.75pt;margin-top:40.55pt;height:28.75pt;width:144pt;mso-position-horizontal-relative:margin;mso-wrap-style:none;z-index:251660288;mso-width-relative:page;mso-height-relative:page;" filled="f" stroked="f" coordsize="21600,21600" o:gfxdata="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iOxhFtsAAAAKAQAADwAAAAAAAAABACAAAAAiAAAAZHJz&#10;L2Rvd25yZXYueG1sUEsBAhQAFAAAAAgAh07iQDyJrGo6AgAAZAQAAA4AAAAAAAAAAQAgAAAAKgEA&#10;AGRycy9lMm9Eb2MueG1sUEsFBgAAAAAGAAYAWQEAANYFAAAAAA==&#10;">
              <v:fill on="f" focussize="0,0"/>
              <v:stroke on="f" weight="0.5pt"/>
              <v:imagedata o:title=""/>
              <o:lock v:ext="edit" aspectratio="f"/>
              <v:textbox>
                <w:txbxContent>
                  <w:p w14:paraId="39A74EF8">
                    <w:pPr>
                      <w:jc w:val="cente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v:textbox>
            </v:shape>
          </w:pict>
        </mc:Fallback>
      </mc:AlternateContent>
    </w:r>
    <w:r>
      <w:rPr>
        <w:sz w:val="10"/>
        <w:szCs w:val="10"/>
      </w:rPr>
      <w:drawing>
        <wp:inline distT="0" distB="0" distL="0" distR="0">
          <wp:extent cx="773430" cy="877570"/>
          <wp:effectExtent l="0" t="0" r="7620" b="1778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059BA"/>
    <w:rsid w:val="0004443A"/>
    <w:rsid w:val="000B770F"/>
    <w:rsid w:val="00136635"/>
    <w:rsid w:val="00156019"/>
    <w:rsid w:val="00160DC2"/>
    <w:rsid w:val="001C1B32"/>
    <w:rsid w:val="00200121"/>
    <w:rsid w:val="00264EA8"/>
    <w:rsid w:val="00296707"/>
    <w:rsid w:val="002F6D5B"/>
    <w:rsid w:val="003550AC"/>
    <w:rsid w:val="003B16AF"/>
    <w:rsid w:val="003E2D55"/>
    <w:rsid w:val="003F48D2"/>
    <w:rsid w:val="00455912"/>
    <w:rsid w:val="004B4660"/>
    <w:rsid w:val="00505831"/>
    <w:rsid w:val="00527365"/>
    <w:rsid w:val="00596990"/>
    <w:rsid w:val="005D2EFD"/>
    <w:rsid w:val="006806FB"/>
    <w:rsid w:val="00733777"/>
    <w:rsid w:val="00867CB0"/>
    <w:rsid w:val="008B23F3"/>
    <w:rsid w:val="00912B14"/>
    <w:rsid w:val="00942B6C"/>
    <w:rsid w:val="0097112D"/>
    <w:rsid w:val="009D25DB"/>
    <w:rsid w:val="00A23D4B"/>
    <w:rsid w:val="00A840FC"/>
    <w:rsid w:val="00B829A2"/>
    <w:rsid w:val="00BA3CE5"/>
    <w:rsid w:val="00CB1423"/>
    <w:rsid w:val="00CE110F"/>
    <w:rsid w:val="00D33741"/>
    <w:rsid w:val="00D55D1D"/>
    <w:rsid w:val="00D7688D"/>
    <w:rsid w:val="00E64056"/>
    <w:rsid w:val="00E905CD"/>
    <w:rsid w:val="00EB567E"/>
    <w:rsid w:val="00F02A8D"/>
    <w:rsid w:val="00F253D2"/>
    <w:rsid w:val="00F75C7A"/>
    <w:rsid w:val="00FA11ED"/>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891ED2"/>
    <w:rsid w:val="0AC459AA"/>
    <w:rsid w:val="0AD52242"/>
    <w:rsid w:val="0B8F4175"/>
    <w:rsid w:val="0BA22DE5"/>
    <w:rsid w:val="0BC1292A"/>
    <w:rsid w:val="0C0C50ED"/>
    <w:rsid w:val="0C2F32F7"/>
    <w:rsid w:val="0CAF6706"/>
    <w:rsid w:val="0CE9794A"/>
    <w:rsid w:val="0D054058"/>
    <w:rsid w:val="0D2F10DC"/>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3D83BD7"/>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4A7A67"/>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008AE"/>
    <w:rsid w:val="285B5212"/>
    <w:rsid w:val="289366BF"/>
    <w:rsid w:val="28CD5D77"/>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8B327F"/>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69B7757"/>
    <w:rsid w:val="36AC7482"/>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0F2A81"/>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4F93617"/>
    <w:rsid w:val="65A92947"/>
    <w:rsid w:val="665B0D53"/>
    <w:rsid w:val="668313EA"/>
    <w:rsid w:val="66C646B1"/>
    <w:rsid w:val="66F63506"/>
    <w:rsid w:val="67193AFD"/>
    <w:rsid w:val="67567154"/>
    <w:rsid w:val="67B051FD"/>
    <w:rsid w:val="67C31A7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basedOn w:val="8"/>
    <w:qFormat/>
    <w:uiPriority w:val="0"/>
    <w:rPr>
      <w:i/>
    </w:rPr>
  </w:style>
  <w:style w:type="paragraph" w:customStyle="1" w:styleId="10">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 w:type="character" w:customStyle="1" w:styleId="11">
    <w:name w:val="标题 1 字符"/>
    <w:basedOn w:val="8"/>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432</Words>
  <Characters>2610</Characters>
  <Lines>32</Lines>
  <Paragraphs>34</Paragraphs>
  <TotalTime>0</TotalTime>
  <ScaleCrop>false</ScaleCrop>
  <LinksUpToDate>false</LinksUpToDate>
  <CharactersWithSpaces>2996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2025-04-15T07:56:00Z</dcterms:created>
  <dc:creator>Davis</dc:creator>
  <cp:lastModifiedBy>戴眼镜的麻杆。</cp:lastModifiedBy>
  <cp:lastPrinted>2024-06-20T10:29:00Z</cp:lastPrinted>
  <dcterms:modified xsi:type="dcterms:W3CDTF">2026-04-20T07:10:55Z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9A043D9E0A994FEA8981EC7025456D23_13</vt:lpwstr>
  </property>
  <property fmtid="{D5CDD505-2E9C-101B-9397-08002B2CF9AE}" pid="4" name="KSOTemplateDocerSaveRecord">
    <vt:lpwstr>eyJoZGlkIjoiN2FkMmFjNTIzYTc2MzM4YzI5MjhhZjFlYzFlYTkyNWUiLCJ1c2VySWQiOiIxMTk5MzAzNjYzIn0=</vt:lpwstr>
  </property>
</Properties>
</file>