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004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rPr>
        <w:t>Product Technical Specification</w:t>
      </w:r>
    </w:p>
    <w:p w14:paraId="647854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3AE058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HEUR-540B is a liquid waterborne polyurethane thickener. It is easy to use and outperforms traditional cellulose</w:t>
      </w:r>
      <w:r>
        <w:rPr>
          <w:rFonts w:hint="default" w:ascii="Arial" w:hAnsi="Arial" w:eastAsia="宋体" w:cs="Arial"/>
          <w:color w:val="000000"/>
          <w:kern w:val="0"/>
          <w:sz w:val="24"/>
          <w:szCs w:val="24"/>
          <w:lang w:val="en-US" w:eastAsia="zh-CN" w:bidi="ar"/>
        </w:rPr>
        <w:noBreakHyphen/>
      </w:r>
      <w:r>
        <w:rPr>
          <w:rFonts w:hint="default" w:ascii="Arial" w:hAnsi="Arial" w:eastAsia="宋体" w:cs="Arial"/>
          <w:color w:val="000000"/>
          <w:kern w:val="0"/>
          <w:sz w:val="24"/>
          <w:szCs w:val="24"/>
          <w:lang w:val="en-US" w:eastAsia="zh-CN" w:bidi="ar"/>
        </w:rPr>
        <w:t>based thickeners (such as HEC hydroxyethyl cellulose, MC methyl cellulose, etc.) and acrylic thickeners in leveling, film gloss and water resistance.</w:t>
      </w:r>
    </w:p>
    <w:p w14:paraId="1E8D98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r>
        <w:rPr>
          <w:rFonts w:hint="default" w:ascii="Arial" w:hAnsi="Arial" w:cs="Arial"/>
          <w:color w:val="000000"/>
          <w:sz w:val="28"/>
          <w:szCs w:val="28"/>
        </w:rPr>
        <w:t>*</w:t>
      </w:r>
    </w:p>
    <w:tbl>
      <w:tblPr>
        <w:tblStyle w:val="7"/>
        <w:tblW w:w="8916" w:type="dxa"/>
        <w:tblInd w:w="164" w:type="dxa"/>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12"/>
        <w:gridCol w:w="6504"/>
      </w:tblGrid>
      <w:tr w14:paraId="44E1326D">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tblHeader/>
        </w:trPr>
        <w:tc>
          <w:tcPr>
            <w:tcW w:w="2412" w:type="dxa"/>
            <w:tcBorders>
              <w:bottom w:val="single" w:color="000000" w:themeColor="text1" w:sz="8" w:space="0"/>
            </w:tcBorders>
            <w:shd w:val="clear" w:color="auto" w:fill="auto"/>
            <w:tcMar>
              <w:top w:w="120" w:type="dxa"/>
              <w:left w:w="120" w:type="dxa"/>
              <w:bottom w:w="120" w:type="dxa"/>
              <w:right w:w="120" w:type="dxa"/>
            </w:tcMar>
            <w:vAlign w:val="center"/>
          </w:tcPr>
          <w:p w14:paraId="14AA38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cs="Arial"/>
                <w:b/>
                <w:bCs/>
                <w:caps w:val="0"/>
                <w:spacing w:val="0"/>
                <w:sz w:val="24"/>
                <w:szCs w:val="24"/>
              </w:rPr>
            </w:pPr>
            <w:bookmarkStart w:id="0" w:name="_GoBack" w:colFirst="0" w:colLast="1"/>
            <w:r>
              <w:rPr>
                <w:rFonts w:hint="default" w:ascii="Arial" w:hAnsi="Arial" w:eastAsia="宋体" w:cs="Arial"/>
                <w:b/>
                <w:bCs/>
                <w:caps w:val="0"/>
                <w:spacing w:val="0"/>
                <w:kern w:val="0"/>
                <w:sz w:val="24"/>
                <w:szCs w:val="24"/>
                <w:lang w:val="en-US" w:eastAsia="zh-CN" w:bidi="ar"/>
              </w:rPr>
              <w:t>Item</w:t>
            </w:r>
          </w:p>
        </w:tc>
        <w:tc>
          <w:tcPr>
            <w:tcW w:w="0" w:type="auto"/>
            <w:tcBorders>
              <w:bottom w:val="single" w:color="000000" w:themeColor="text1" w:sz="8" w:space="0"/>
            </w:tcBorders>
            <w:shd w:val="clear" w:color="auto" w:fill="auto"/>
            <w:tcMar>
              <w:top w:w="120" w:type="dxa"/>
              <w:left w:w="120" w:type="dxa"/>
              <w:bottom w:w="120" w:type="dxa"/>
              <w:right w:w="120" w:type="dxa"/>
            </w:tcMar>
            <w:vAlign w:val="center"/>
          </w:tcPr>
          <w:p w14:paraId="596792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cs="Arial"/>
                <w:b/>
                <w:bCs/>
                <w:caps w:val="0"/>
                <w:spacing w:val="0"/>
                <w:sz w:val="24"/>
                <w:szCs w:val="24"/>
              </w:rPr>
            </w:pPr>
            <w:r>
              <w:rPr>
                <w:rFonts w:hint="default" w:ascii="Arial" w:hAnsi="Arial" w:eastAsia="宋体" w:cs="Arial"/>
                <w:b/>
                <w:bCs/>
                <w:caps w:val="0"/>
                <w:spacing w:val="0"/>
                <w:kern w:val="0"/>
                <w:sz w:val="24"/>
                <w:szCs w:val="24"/>
                <w:lang w:val="en-US" w:eastAsia="zh-CN" w:bidi="ar"/>
              </w:rPr>
              <w:t>Specification</w:t>
            </w:r>
          </w:p>
        </w:tc>
      </w:tr>
      <w:tr w14:paraId="2F1EBA92">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2412" w:type="dxa"/>
            <w:tcBorders>
              <w:top w:val="single" w:color="000000" w:themeColor="text1" w:sz="8" w:space="0"/>
              <w:tl2br w:val="nil"/>
              <w:tr2bl w:val="nil"/>
            </w:tcBorders>
            <w:shd w:val="clear" w:color="auto" w:fill="auto"/>
            <w:tcMar>
              <w:top w:w="120" w:type="dxa"/>
              <w:left w:w="120" w:type="dxa"/>
              <w:bottom w:w="120" w:type="dxa"/>
              <w:right w:w="120" w:type="dxa"/>
            </w:tcMar>
            <w:vAlign w:val="center"/>
          </w:tcPr>
          <w:p w14:paraId="52B37040">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Appearance</w:t>
            </w:r>
          </w:p>
        </w:tc>
        <w:tc>
          <w:tcPr>
            <w:tcW w:w="0" w:type="auto"/>
            <w:tcBorders>
              <w:top w:val="single" w:color="000000" w:themeColor="text1" w:sz="8" w:space="0"/>
              <w:tl2br w:val="nil"/>
              <w:tr2bl w:val="nil"/>
            </w:tcBorders>
            <w:shd w:val="clear" w:color="auto" w:fill="auto"/>
            <w:tcMar>
              <w:top w:w="120" w:type="dxa"/>
              <w:left w:w="120" w:type="dxa"/>
              <w:bottom w:w="120" w:type="dxa"/>
              <w:right w:w="120" w:type="dxa"/>
            </w:tcMar>
            <w:vAlign w:val="center"/>
          </w:tcPr>
          <w:p w14:paraId="0CC3970C">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Colorless or pale yellow transparent liquid</w:t>
            </w:r>
          </w:p>
        </w:tc>
      </w:tr>
      <w:tr w14:paraId="4B6C23DB">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trPr>
        <w:tc>
          <w:tcPr>
            <w:tcW w:w="2412" w:type="dxa"/>
            <w:tcBorders>
              <w:tl2br w:val="nil"/>
              <w:tr2bl w:val="nil"/>
            </w:tcBorders>
            <w:shd w:val="clear" w:color="auto" w:fill="auto"/>
            <w:tcMar>
              <w:top w:w="120" w:type="dxa"/>
              <w:left w:w="120" w:type="dxa"/>
              <w:bottom w:w="120" w:type="dxa"/>
              <w:right w:w="120" w:type="dxa"/>
            </w:tcMar>
            <w:vAlign w:val="center"/>
          </w:tcPr>
          <w:p w14:paraId="6E146562">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Solid content</w:t>
            </w:r>
          </w:p>
        </w:tc>
        <w:tc>
          <w:tcPr>
            <w:tcW w:w="0" w:type="auto"/>
            <w:tcBorders>
              <w:tl2br w:val="nil"/>
              <w:tr2bl w:val="nil"/>
            </w:tcBorders>
            <w:shd w:val="clear" w:color="auto" w:fill="auto"/>
            <w:tcMar>
              <w:top w:w="120" w:type="dxa"/>
              <w:left w:w="120" w:type="dxa"/>
              <w:bottom w:w="120" w:type="dxa"/>
              <w:right w:w="120" w:type="dxa"/>
            </w:tcMar>
            <w:vAlign w:val="center"/>
          </w:tcPr>
          <w:p w14:paraId="16AEC4CB">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40%±1%</w:t>
            </w:r>
          </w:p>
        </w:tc>
      </w:tr>
      <w:tr w14:paraId="5FDD70D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2412" w:type="dxa"/>
            <w:tcBorders>
              <w:tl2br w:val="nil"/>
              <w:tr2bl w:val="nil"/>
            </w:tcBorders>
            <w:shd w:val="clear" w:color="auto" w:fill="auto"/>
            <w:tcMar>
              <w:top w:w="120" w:type="dxa"/>
              <w:left w:w="120" w:type="dxa"/>
              <w:bottom w:w="120" w:type="dxa"/>
              <w:right w:w="120" w:type="dxa"/>
            </w:tcMar>
            <w:vAlign w:val="center"/>
          </w:tcPr>
          <w:p w14:paraId="72FAABDA">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Colloid charge</w:t>
            </w:r>
          </w:p>
        </w:tc>
        <w:tc>
          <w:tcPr>
            <w:tcW w:w="0" w:type="auto"/>
            <w:tcBorders>
              <w:tl2br w:val="nil"/>
              <w:tr2bl w:val="nil"/>
            </w:tcBorders>
            <w:shd w:val="clear" w:color="auto" w:fill="auto"/>
            <w:tcMar>
              <w:top w:w="120" w:type="dxa"/>
              <w:left w:w="120" w:type="dxa"/>
              <w:bottom w:w="120" w:type="dxa"/>
              <w:right w:w="120" w:type="dxa"/>
            </w:tcMar>
            <w:vAlign w:val="center"/>
          </w:tcPr>
          <w:p w14:paraId="41EB780A">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Non-ionic</w:t>
            </w:r>
          </w:p>
        </w:tc>
      </w:tr>
      <w:tr w14:paraId="572E12FA">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trPr>
        <w:tc>
          <w:tcPr>
            <w:tcW w:w="2412" w:type="dxa"/>
            <w:tcBorders>
              <w:tl2br w:val="nil"/>
              <w:tr2bl w:val="nil"/>
            </w:tcBorders>
            <w:shd w:val="clear" w:color="auto" w:fill="auto"/>
            <w:tcMar>
              <w:top w:w="120" w:type="dxa"/>
              <w:left w:w="120" w:type="dxa"/>
              <w:bottom w:w="120" w:type="dxa"/>
              <w:right w:w="120" w:type="dxa"/>
            </w:tcMar>
            <w:vAlign w:val="center"/>
          </w:tcPr>
          <w:p w14:paraId="6EA1C6F8">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Viscosity</w:t>
            </w:r>
          </w:p>
        </w:tc>
        <w:tc>
          <w:tcPr>
            <w:tcW w:w="0" w:type="auto"/>
            <w:tcBorders>
              <w:tl2br w:val="nil"/>
              <w:tr2bl w:val="nil"/>
            </w:tcBorders>
            <w:shd w:val="clear" w:color="auto" w:fill="auto"/>
            <w:tcMar>
              <w:top w:w="120" w:type="dxa"/>
              <w:left w:w="120" w:type="dxa"/>
              <w:bottom w:w="120" w:type="dxa"/>
              <w:right w:w="120" w:type="dxa"/>
            </w:tcMar>
            <w:vAlign w:val="center"/>
          </w:tcPr>
          <w:p w14:paraId="48F6EA0C">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3500-8000 mPa·s (25℃)</w:t>
            </w:r>
          </w:p>
        </w:tc>
      </w:tr>
      <w:tr w14:paraId="01F3953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2412" w:type="dxa"/>
            <w:tcBorders>
              <w:tl2br w:val="nil"/>
              <w:tr2bl w:val="nil"/>
            </w:tcBorders>
            <w:shd w:val="clear" w:color="auto" w:fill="auto"/>
            <w:tcMar>
              <w:top w:w="120" w:type="dxa"/>
              <w:left w:w="120" w:type="dxa"/>
              <w:bottom w:w="120" w:type="dxa"/>
              <w:right w:w="120" w:type="dxa"/>
            </w:tcMar>
            <w:vAlign w:val="center"/>
          </w:tcPr>
          <w:p w14:paraId="3B4AEFC1">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Specific gravity</w:t>
            </w:r>
          </w:p>
        </w:tc>
        <w:tc>
          <w:tcPr>
            <w:tcW w:w="0" w:type="auto"/>
            <w:tcBorders>
              <w:tl2br w:val="nil"/>
              <w:tr2bl w:val="nil"/>
            </w:tcBorders>
            <w:shd w:val="clear" w:color="auto" w:fill="auto"/>
            <w:tcMar>
              <w:top w:w="120" w:type="dxa"/>
              <w:left w:w="120" w:type="dxa"/>
              <w:bottom w:w="120" w:type="dxa"/>
              <w:right w:w="120" w:type="dxa"/>
            </w:tcMar>
            <w:vAlign w:val="center"/>
          </w:tcPr>
          <w:p w14:paraId="070EF323">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1.02-1.06 g/cm³</w:t>
            </w:r>
          </w:p>
        </w:tc>
      </w:tr>
      <w:bookmarkEnd w:id="0"/>
    </w:tbl>
    <w:p w14:paraId="65CBF0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45F4B3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Applications</w:t>
      </w:r>
    </w:p>
    <w:p w14:paraId="70A5DD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Water-based coatings, water-based adhesives, water-based inks, textile coatings, leather finishing, etc.</w:t>
      </w:r>
    </w:p>
    <w:p w14:paraId="1EEBE9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41ED3991">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Medium shear thickener.</w:t>
      </w:r>
    </w:p>
    <w:p w14:paraId="55B6422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Excellent thickening efficiency, flow and leveling properties.</w:t>
      </w:r>
    </w:p>
    <w:p w14:paraId="6D910E0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Free of organotin, APEO and other toxic substances.</w:t>
      </w:r>
    </w:p>
    <w:p w14:paraId="4002D93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Good dispersibility, assisting wetting and dispersion of pigments.</w:t>
      </w:r>
    </w:p>
    <w:p w14:paraId="594F68F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Non-ionic, performance not affected by system pH.</w:t>
      </w:r>
    </w:p>
    <w:p w14:paraId="6FF2986D">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No n</w:t>
      </w:r>
      <w:r>
        <w:rPr>
          <w:rFonts w:hint="default" w:ascii="Arial" w:hAnsi="Arial" w:cs="Arial"/>
          <w:color w:val="000000"/>
          <w:sz w:val="24"/>
          <w:szCs w:val="24"/>
        </w:rPr>
        <w:t>egative impact on product gloss.</w:t>
      </w:r>
    </w:p>
    <w:p w14:paraId="120F61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Dosage and Application</w:t>
      </w:r>
    </w:p>
    <w:p w14:paraId="4E40A61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Dos</w:t>
      </w:r>
      <w:r>
        <w:rPr>
          <w:rFonts w:hint="default" w:ascii="Arial" w:hAnsi="Arial" w:cs="Arial"/>
          <w:color w:val="000000"/>
          <w:sz w:val="24"/>
          <w:szCs w:val="24"/>
        </w:rPr>
        <w:t>age based on total formulation: 0.2-2.0%. Determine the optimal dosage according to system composition and required fluidity.</w:t>
      </w:r>
    </w:p>
    <w:p w14:paraId="75075795">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Can be added before or after grinding. It is recommended to add partly before grinding and partly after grinding.</w:t>
      </w:r>
    </w:p>
    <w:p w14:paraId="62746FB5">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No pre-di</w:t>
      </w:r>
      <w:r>
        <w:rPr>
          <w:rFonts w:hint="default" w:ascii="Arial" w:hAnsi="Arial" w:cs="Arial"/>
          <w:color w:val="000000"/>
          <w:sz w:val="24"/>
          <w:szCs w:val="24"/>
        </w:rPr>
        <w:t>lution required. If dilution is needed, use water-based solvents.</w:t>
      </w:r>
    </w:p>
    <w:p w14:paraId="22312A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Precautions</w:t>
      </w:r>
    </w:p>
    <w:p w14:paraId="515A115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Assoc</w:t>
      </w:r>
      <w:r>
        <w:rPr>
          <w:rFonts w:hint="default" w:ascii="Arial" w:hAnsi="Arial" w:cs="Arial"/>
          <w:color w:val="000000"/>
          <w:sz w:val="24"/>
          <w:szCs w:val="24"/>
        </w:rPr>
        <w:t>iative thickening is affected by temperature: higher viscosity at low temperature and lower viscosity at high temperature. Please consider temperature conditions in formulation design.</w:t>
      </w:r>
    </w:p>
    <w:p w14:paraId="1A6EA304">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Re-test is required when raw material batches are changed to confirm the proper dosage.</w:t>
      </w:r>
    </w:p>
    <w:p w14:paraId="21CE124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Crystallization may occur at low temperature, which does not affect product performance.</w:t>
      </w:r>
      <w:r>
        <w:rPr>
          <w:rFonts w:hint="default" w:ascii="Arial" w:hAnsi="Arial" w:cs="Arial"/>
          <w:color w:val="000000"/>
          <w:sz w:val="24"/>
          <w:szCs w:val="24"/>
        </w:rPr>
        <w:t xml:space="preserve"> Heat to melt crystals before use if crystallization occurs.</w:t>
      </w:r>
    </w:p>
    <w:p w14:paraId="48DE1C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 and Shelf Life</w:t>
      </w:r>
    </w:p>
    <w:p w14:paraId="43E5E0DC">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Store in original sealed container.</w:t>
      </w:r>
    </w:p>
    <w:p w14:paraId="3A5E1FA4">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Recommended storage temperature: 6-28℃.</w:t>
      </w:r>
    </w:p>
    <w:p w14:paraId="6835DFB8">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Use within 12 months from production date.</w:t>
      </w:r>
    </w:p>
    <w:p w14:paraId="09FF947F">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84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rPr>
        <w:t>Avoid d</w:t>
      </w:r>
      <w:r>
        <w:rPr>
          <w:rFonts w:hint="default" w:ascii="Arial" w:hAnsi="Arial" w:cs="Arial"/>
          <w:color w:val="000000"/>
          <w:sz w:val="24"/>
          <w:szCs w:val="24"/>
        </w:rPr>
        <w:t>irect sunlight and contamination.</w:t>
      </w:r>
    </w:p>
    <w:p w14:paraId="260393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Packaging</w:t>
      </w:r>
    </w:p>
    <w:p w14:paraId="660AB4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50 kg, 125 kg and IBC tote packages are available. Customizable according to customer requirements.</w:t>
      </w:r>
    </w:p>
    <w:p w14:paraId="770A0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06D94961">
      <w:pPr>
        <w:rPr>
          <w:rFonts w:hint="default" w:ascii="Arial" w:hAnsi="Arial" w:cs="Arial"/>
          <w:color w:val="2E74B5"/>
          <w:sz w:val="24"/>
          <w:szCs w:val="24"/>
        </w:rPr>
      </w:pPr>
    </w:p>
    <w:p w14:paraId="09CC54E8">
      <w:pPr>
        <w:rPr>
          <w:rFonts w:hint="default" w:ascii="Arial" w:hAnsi="Arial" w:cs="Arial"/>
          <w:color w:val="2E74B5"/>
          <w:sz w:val="24"/>
          <w:szCs w:val="24"/>
        </w:rPr>
      </w:pPr>
    </w:p>
    <w:p w14:paraId="0A1FD4D6">
      <w:pPr>
        <w:rPr>
          <w:rFonts w:hint="default" w:ascii="Arial" w:hAnsi="Arial" w:cs="Arial"/>
          <w:color w:val="2E74B5"/>
          <w:sz w:val="24"/>
          <w:szCs w:val="24"/>
        </w:rPr>
      </w:pPr>
    </w:p>
    <w:p w14:paraId="63F571B8">
      <w:pPr>
        <w:rPr>
          <w:rFonts w:hint="default" w:ascii="Arial" w:hAnsi="Arial" w:cs="Arial"/>
          <w:color w:val="2E74B5"/>
          <w:sz w:val="24"/>
          <w:szCs w:val="24"/>
        </w:rPr>
      </w:pPr>
    </w:p>
    <w:p w14:paraId="1280F8CF">
      <w:pPr>
        <w:rPr>
          <w:rFonts w:hint="default" w:ascii="Arial" w:hAnsi="Arial" w:cs="Arial"/>
          <w:color w:val="2E74B5"/>
          <w:sz w:val="24"/>
          <w:szCs w:val="24"/>
        </w:rPr>
      </w:pPr>
    </w:p>
    <w:p w14:paraId="2DDCB0BF">
      <w:pPr>
        <w:rPr>
          <w:rFonts w:hint="default" w:ascii="Arial" w:hAnsi="Arial" w:cs="Arial"/>
          <w:color w:val="2E74B5"/>
          <w:sz w:val="24"/>
          <w:szCs w:val="24"/>
        </w:rPr>
      </w:pPr>
    </w:p>
    <w:p w14:paraId="3021A169">
      <w:pPr>
        <w:rPr>
          <w:rFonts w:hint="default" w:ascii="Arial" w:hAnsi="Arial" w:cs="Arial"/>
          <w:color w:val="2E74B5"/>
          <w:sz w:val="24"/>
          <w:szCs w:val="24"/>
        </w:rPr>
      </w:pPr>
    </w:p>
    <w:p w14:paraId="4854EABB">
      <w:pPr>
        <w:rPr>
          <w:rFonts w:hint="default" w:ascii="Arial" w:hAnsi="Arial" w:cs="Arial"/>
          <w:color w:val="2E74B5"/>
          <w:sz w:val="24"/>
          <w:szCs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FC8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1FE66A6F">
            <w:pPr>
              <w:ind w:firstLine="480" w:firstLineChars="200"/>
              <w:rPr>
                <w:rFonts w:hint="default" w:ascii="Arial" w:hAnsi="Arial" w:eastAsia="微软雅黑" w:cs="Arial"/>
                <w:b/>
                <w:bCs/>
                <w:sz w:val="24"/>
                <w:szCs w:val="24"/>
              </w:rPr>
            </w:pPr>
            <w:r>
              <w:rPr>
                <w:rFonts w:hint="default" w:ascii="Arial" w:hAnsi="Arial" w:cs="Arial"/>
                <w:color w:val="000000"/>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78DE1ED8">
      <w:pPr>
        <w:pStyle w:val="10"/>
        <w:rPr>
          <w:rFonts w:hint="default" w:ascii="Arial" w:hAnsi="Arial" w:eastAsia="微软雅黑" w:cs="Arial"/>
          <w:b/>
          <w:bCs/>
          <w:sz w:val="24"/>
          <w:szCs w:val="24"/>
        </w:rPr>
      </w:pPr>
    </w:p>
    <w:sectPr>
      <w:headerReference r:id="rId3" w:type="default"/>
      <w:footerReference r:id="rId4" w:type="default"/>
      <w:type w:val="continuous"/>
      <w:pgSz w:w="11906" w:h="16838"/>
      <w:pgMar w:top="850" w:right="1417" w:bottom="850" w:left="1417" w:header="851" w:footer="992"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FDFA1">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0A02">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1CF80A02">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8AAC4">
    <w:pPr>
      <w:pStyle w:val="6"/>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3968115</wp:posOffset>
              </wp:positionH>
              <wp:positionV relativeFrom="paragraph">
                <wp:posOffset>41275</wp:posOffset>
              </wp:positionV>
              <wp:extent cx="2051050" cy="47752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051050" cy="477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7867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2.45pt;margin-top:3.25pt;height:37.6pt;width:161.5pt;mso-position-horizontal-relative:margin;z-index:251659264;mso-width-relative:page;mso-height-relative:page;" filled="f" stroked="f" coordsize="21600,21600" o:gfxdata="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zSNJOdoAAAAIAQAADwAAAAAAAAABACAAAAAiAAAAZHJz&#10;L2Rvd25yZXYueG1sUEsBAhQAFAAAAAgAh07iQGgv8N07AgAAZgQAAA4AAAAAAAAAAQAgAAAAKQEA&#10;AGRycy9lMm9Eb2MueG1sUEsFBgAAAAAGAAYAWQEAANYFAAAAAA==&#10;">
              <v:fill on="f" focussize="0,0"/>
              <v:stroke on="f" weight="0.5pt"/>
              <v:imagedata o:title=""/>
              <o:lock v:ext="edit" aspectratio="f"/>
              <v:textbox>
                <w:txbxContent>
                  <w:p w14:paraId="56C7867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HEUR-540B</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margin">
                <wp:posOffset>3628390</wp:posOffset>
              </wp:positionH>
              <wp:positionV relativeFrom="paragraph">
                <wp:posOffset>510540</wp:posOffset>
              </wp:positionV>
              <wp:extent cx="1828800" cy="406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74EF8">
                          <w:pPr>
                            <w:jc w:val="cente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p w14:paraId="3E882414">
                          <w:pPr>
                            <w:rPr>
                              <w:rFonts w:hint="eastAsia"/>
                            </w:rPr>
                          </w:pP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7pt;margin-top:40.2pt;height:32pt;width:144pt;mso-position-horizontal-relative:margin;mso-wrap-style:none;z-index:251660288;mso-width-relative:page;mso-height-relative:page;" filled="f" stroked="f" coordsize="21600,21600" o:gfxdata="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TLA1LbAAAACgEAAA8AAAAAAAAAAQAgAAAAIgAAAGRycy9k&#10;b3ducmV2LnhtbFBLAQIUABQAAAAIAIdO4kAwbvxpOAIAAGQEAAAOAAAAAAAAAAEAIAAAACoBAABk&#10;cnMvZTJvRG9jLnhtbFBLBQYAAAAABgAGAFkBAADUBQAAAAA=&#10;">
              <v:fill on="f" focussize="0,0"/>
              <v:stroke on="f" weight="0.5pt"/>
              <v:imagedata o:title=""/>
              <o:lock v:ext="edit" aspectratio="f"/>
              <v:textbox>
                <w:txbxContent>
                  <w:p w14:paraId="39A74EF8">
                    <w:pPr>
                      <w:jc w:val="cente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p w14:paraId="3E882414">
                    <w:pPr>
                      <w:rPr>
                        <w:rFonts w:hint="eastAsia"/>
                      </w:rPr>
                    </w:pP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97F7A"/>
    <w:multiLevelType w:val="singleLevel"/>
    <w:tmpl w:val="80697F7A"/>
    <w:lvl w:ilvl="0" w:tentative="0">
      <w:start w:val="1"/>
      <w:numFmt w:val="decimal"/>
      <w:lvlText w:val="%1."/>
      <w:lvlJc w:val="left"/>
      <w:pPr>
        <w:tabs>
          <w:tab w:val="left" w:pos="420"/>
        </w:tabs>
        <w:ind w:left="845" w:hanging="425"/>
      </w:pPr>
      <w:rPr>
        <w:rFonts w:hint="default"/>
      </w:rPr>
    </w:lvl>
  </w:abstractNum>
  <w:abstractNum w:abstractNumId="1">
    <w:nsid w:val="88C1BE0E"/>
    <w:multiLevelType w:val="singleLevel"/>
    <w:tmpl w:val="88C1BE0E"/>
    <w:lvl w:ilvl="0" w:tentative="0">
      <w:start w:val="1"/>
      <w:numFmt w:val="decimal"/>
      <w:lvlText w:val="%1."/>
      <w:lvlJc w:val="left"/>
      <w:pPr>
        <w:tabs>
          <w:tab w:val="left" w:pos="420"/>
        </w:tabs>
        <w:ind w:left="845" w:hanging="425"/>
      </w:pPr>
      <w:rPr>
        <w:rFonts w:hint="default"/>
      </w:rPr>
    </w:lvl>
  </w:abstractNum>
  <w:abstractNum w:abstractNumId="2">
    <w:nsid w:val="FF36E40A"/>
    <w:multiLevelType w:val="singleLevel"/>
    <w:tmpl w:val="FF36E40A"/>
    <w:lvl w:ilvl="0" w:tentative="0">
      <w:start w:val="1"/>
      <w:numFmt w:val="decimal"/>
      <w:lvlText w:val="%1."/>
      <w:lvlJc w:val="left"/>
      <w:pPr>
        <w:tabs>
          <w:tab w:val="left" w:pos="420"/>
        </w:tabs>
        <w:ind w:left="845" w:hanging="425"/>
      </w:pPr>
      <w:rPr>
        <w:rFonts w:hint="default"/>
      </w:rPr>
    </w:lvl>
  </w:abstractNum>
  <w:abstractNum w:abstractNumId="3">
    <w:nsid w:val="21AE0FF8"/>
    <w:multiLevelType w:val="singleLevel"/>
    <w:tmpl w:val="21AE0FF8"/>
    <w:lvl w:ilvl="0" w:tentative="0">
      <w:start w:val="1"/>
      <w:numFmt w:val="decimal"/>
      <w:lvlText w:val="%1."/>
      <w:lvlJc w:val="left"/>
      <w:pPr>
        <w:tabs>
          <w:tab w:val="left" w:pos="420"/>
        </w:tabs>
        <w:ind w:left="845" w:hanging="425"/>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4443A"/>
    <w:rsid w:val="000B770F"/>
    <w:rsid w:val="000F7CCE"/>
    <w:rsid w:val="00136635"/>
    <w:rsid w:val="00156019"/>
    <w:rsid w:val="00200121"/>
    <w:rsid w:val="00264EA8"/>
    <w:rsid w:val="00296707"/>
    <w:rsid w:val="002F6D5B"/>
    <w:rsid w:val="003550AC"/>
    <w:rsid w:val="003B16AF"/>
    <w:rsid w:val="003F48D2"/>
    <w:rsid w:val="00455912"/>
    <w:rsid w:val="004B20CF"/>
    <w:rsid w:val="00505831"/>
    <w:rsid w:val="00527365"/>
    <w:rsid w:val="00596990"/>
    <w:rsid w:val="005D2EFD"/>
    <w:rsid w:val="006806FB"/>
    <w:rsid w:val="00714044"/>
    <w:rsid w:val="008146DC"/>
    <w:rsid w:val="00867CB0"/>
    <w:rsid w:val="00912B14"/>
    <w:rsid w:val="00942B6C"/>
    <w:rsid w:val="0097112D"/>
    <w:rsid w:val="00A23D4B"/>
    <w:rsid w:val="00A840FC"/>
    <w:rsid w:val="00AF037D"/>
    <w:rsid w:val="00B829A2"/>
    <w:rsid w:val="00BB18F4"/>
    <w:rsid w:val="00C84753"/>
    <w:rsid w:val="00CB1423"/>
    <w:rsid w:val="00CE110F"/>
    <w:rsid w:val="00D33741"/>
    <w:rsid w:val="00D55D1D"/>
    <w:rsid w:val="00D7688D"/>
    <w:rsid w:val="00E64056"/>
    <w:rsid w:val="00E841A6"/>
    <w:rsid w:val="00EA5B8D"/>
    <w:rsid w:val="00EB567E"/>
    <w:rsid w:val="00F02A8D"/>
    <w:rsid w:val="00F253D2"/>
    <w:rsid w:val="011078C7"/>
    <w:rsid w:val="0183453D"/>
    <w:rsid w:val="01EF3980"/>
    <w:rsid w:val="023D46EC"/>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AE56A62"/>
    <w:rsid w:val="0B8F4175"/>
    <w:rsid w:val="0BA22DE5"/>
    <w:rsid w:val="0BC1292A"/>
    <w:rsid w:val="0C0C50ED"/>
    <w:rsid w:val="0C2F32F7"/>
    <w:rsid w:val="0C3F1EB2"/>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00932"/>
    <w:rsid w:val="111904EE"/>
    <w:rsid w:val="112B531D"/>
    <w:rsid w:val="11B04120"/>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295B40"/>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07418B"/>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31E2434"/>
    <w:rsid w:val="3424477C"/>
    <w:rsid w:val="349B6ECC"/>
    <w:rsid w:val="34B166F0"/>
    <w:rsid w:val="34C65B5C"/>
    <w:rsid w:val="34CF6B76"/>
    <w:rsid w:val="3538471B"/>
    <w:rsid w:val="358F0212"/>
    <w:rsid w:val="362F0630"/>
    <w:rsid w:val="366B0946"/>
    <w:rsid w:val="366E5B00"/>
    <w:rsid w:val="377356FF"/>
    <w:rsid w:val="37B02520"/>
    <w:rsid w:val="37B5307D"/>
    <w:rsid w:val="37CA4590"/>
    <w:rsid w:val="38193438"/>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3B314F"/>
    <w:rsid w:val="3F7C4554"/>
    <w:rsid w:val="3F9453C0"/>
    <w:rsid w:val="3FA7706D"/>
    <w:rsid w:val="3FD80FD4"/>
    <w:rsid w:val="40956EC5"/>
    <w:rsid w:val="40A95D8A"/>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5B97DED"/>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8E152A4"/>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8F61204"/>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9"/>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330</Words>
  <Characters>2093</Characters>
  <Lines>5</Lines>
  <Paragraphs>1</Paragraphs>
  <TotalTime>0</TotalTime>
  <ScaleCrop>false</ScaleCrop>
  <LinksUpToDate>false</LinksUpToDate>
  <CharactersWithSpaces>2377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2025-03-27T02:53:00Z</dcterms:created>
  <dc:creator>Davis</dc:creator>
  <cp:lastModifiedBy>戴眼镜的麻杆。</cp:lastModifiedBy>
  <cp:lastPrinted>2024-08-07T16:31:00Z</cp:lastPrinted>
  <dcterms:modified xsi:type="dcterms:W3CDTF">2026-04-20T07:10:52Z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C8F5DA219E0845C2ABD3A7CFC87CCC8B_13</vt:lpwstr>
  </property>
  <property fmtid="{D5CDD505-2E9C-101B-9397-08002B2CF9AE}" pid="4" name="KSOTemplateDocerSaveRecord">
    <vt:lpwstr>eyJoZGlkIjoiN2FkMmFjNTIzYTc2MzM4YzI5MjhhZjFlYzFlYTkyNWUiLCJ1c2VySWQiOiIxMTk5MzAzNjYzIn0=</vt:lpwstr>
  </property>
</Properties>
</file>