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7109A0">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eastAsia="宋体" w:cs="Arial"/>
          <w:color w:val="000000"/>
          <w:sz w:val="36"/>
          <w:szCs w:val="36"/>
        </w:rPr>
      </w:pPr>
      <w:r>
        <w:rPr>
          <w:rFonts w:hint="default" w:ascii="Arial" w:hAnsi="Arial" w:eastAsia="宋体" w:cs="Arial"/>
          <w:color w:val="000000"/>
          <w:sz w:val="36"/>
          <w:szCs w:val="36"/>
        </w:rPr>
        <w:t>Product Technical Specification</w:t>
      </w:r>
    </w:p>
    <w:p w14:paraId="2E627932">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宋体" w:cs="Arial"/>
          <w:color w:val="000000"/>
          <w:sz w:val="28"/>
          <w:szCs w:val="28"/>
        </w:rPr>
      </w:pPr>
      <w:r>
        <w:rPr>
          <w:rFonts w:hint="default" w:ascii="Arial" w:hAnsi="Arial" w:eastAsia="宋体" w:cs="Arial"/>
          <w:color w:val="000000"/>
          <w:sz w:val="28"/>
          <w:szCs w:val="28"/>
        </w:rPr>
        <w:t>Product Introduction</w:t>
      </w:r>
    </w:p>
    <w:p w14:paraId="2427D14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HEUR-540C is a liquid water-based thickener with polyurethane components, featuring high shear performance and easy application. It outperforms traditional cellulose-based thickeners (e.g., HEC hydroxyethyl cellulose, MC methyl cellulose, etc.) and acrylic thickeners in terms of leveling property, film gloss and water resistance.</w:t>
      </w:r>
    </w:p>
    <w:p w14:paraId="7C5E8FF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p>
    <w:p w14:paraId="08E30396">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宋体" w:cs="Arial"/>
          <w:color w:val="000000"/>
          <w:sz w:val="28"/>
          <w:szCs w:val="28"/>
        </w:rPr>
      </w:pPr>
      <w:r>
        <w:rPr>
          <w:rFonts w:hint="default" w:ascii="Arial" w:hAnsi="Arial" w:cs="Arial"/>
          <w:color w:val="000000"/>
          <w:sz w:val="28"/>
          <w:szCs w:val="28"/>
        </w:rPr>
        <w:t>Product Technical Parameters*</w:t>
      </w:r>
    </w:p>
    <w:tbl>
      <w:tblPr>
        <w:tblW w:w="924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2621"/>
        <w:gridCol w:w="6619"/>
      </w:tblGrid>
      <w:tr w14:paraId="67FD2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tblHeader/>
          <w:jc w:val="center"/>
        </w:trPr>
        <w:tc>
          <w:tcPr>
            <w:tcW w:w="0" w:type="auto"/>
            <w:tcBorders>
              <w:top w:val="single" w:color="000000" w:themeColor="text1" w:sz="8" w:space="0"/>
              <w:left w:val="nil"/>
              <w:bottom w:val="single" w:color="000000" w:themeColor="text1" w:sz="8" w:space="0"/>
              <w:right w:val="nil"/>
            </w:tcBorders>
            <w:shd w:val="clear"/>
            <w:tcMar>
              <w:top w:w="120" w:type="dxa"/>
              <w:left w:w="120" w:type="dxa"/>
              <w:bottom w:w="120" w:type="dxa"/>
              <w:right w:w="120" w:type="dxa"/>
            </w:tcMar>
            <w:vAlign w:val="center"/>
          </w:tcPr>
          <w:p w14:paraId="52A880A4">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b/>
                <w:bCs/>
                <w:caps w:val="0"/>
                <w:spacing w:val="0"/>
              </w:rPr>
            </w:pPr>
            <w:r>
              <w:rPr>
                <w:rFonts w:hint="default" w:ascii="Arial" w:hAnsi="Arial" w:eastAsia="宋体" w:cs="Arial"/>
                <w:b/>
                <w:bCs/>
                <w:caps w:val="0"/>
                <w:spacing w:val="0"/>
                <w:kern w:val="0"/>
                <w:sz w:val="24"/>
                <w:szCs w:val="24"/>
                <w:bdr w:val="none" w:color="auto" w:sz="0" w:space="0"/>
                <w:lang w:val="en-US" w:eastAsia="zh-CN" w:bidi="ar"/>
              </w:rPr>
              <w:t>Item</w:t>
            </w:r>
          </w:p>
        </w:tc>
        <w:tc>
          <w:tcPr>
            <w:tcW w:w="0" w:type="auto"/>
            <w:tcBorders>
              <w:top w:val="single" w:color="000000" w:themeColor="text1" w:sz="8" w:space="0"/>
              <w:left w:val="nil"/>
              <w:bottom w:val="single" w:color="000000" w:themeColor="text1" w:sz="8" w:space="0"/>
              <w:right w:val="nil"/>
            </w:tcBorders>
            <w:shd w:val="clear"/>
            <w:tcMar>
              <w:top w:w="120" w:type="dxa"/>
              <w:left w:w="120" w:type="dxa"/>
              <w:bottom w:w="120" w:type="dxa"/>
              <w:right w:w="120" w:type="dxa"/>
            </w:tcMar>
            <w:vAlign w:val="center"/>
          </w:tcPr>
          <w:p w14:paraId="2BF51D45">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b/>
                <w:bCs/>
                <w:caps w:val="0"/>
                <w:spacing w:val="0"/>
              </w:rPr>
            </w:pPr>
            <w:r>
              <w:rPr>
                <w:rFonts w:hint="default" w:ascii="Arial" w:hAnsi="Arial" w:eastAsia="宋体" w:cs="Arial"/>
                <w:b/>
                <w:bCs/>
                <w:caps w:val="0"/>
                <w:spacing w:val="0"/>
                <w:kern w:val="0"/>
                <w:sz w:val="24"/>
                <w:szCs w:val="24"/>
                <w:bdr w:val="none" w:color="auto" w:sz="0" w:space="0"/>
                <w:lang w:val="en-US" w:eastAsia="zh-CN" w:bidi="ar"/>
              </w:rPr>
              <w:t>Specification</w:t>
            </w:r>
          </w:p>
        </w:tc>
      </w:tr>
      <w:tr w14:paraId="3BE49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0" w:type="auto"/>
            <w:tcBorders>
              <w:top w:val="single" w:color="000000" w:themeColor="text1" w:sz="8" w:space="0"/>
              <w:left w:val="nil"/>
              <w:bottom w:val="nil"/>
              <w:right w:val="nil"/>
            </w:tcBorders>
            <w:shd w:val="clear"/>
            <w:tcMar>
              <w:top w:w="120" w:type="dxa"/>
              <w:left w:w="120" w:type="dxa"/>
              <w:bottom w:w="120" w:type="dxa"/>
              <w:right w:w="120" w:type="dxa"/>
            </w:tcMar>
            <w:vAlign w:val="center"/>
          </w:tcPr>
          <w:p w14:paraId="6D1BB277">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Appearance</w:t>
            </w:r>
          </w:p>
        </w:tc>
        <w:tc>
          <w:tcPr>
            <w:tcW w:w="0" w:type="auto"/>
            <w:tcBorders>
              <w:top w:val="single" w:color="000000" w:themeColor="text1" w:sz="8" w:space="0"/>
              <w:left w:val="nil"/>
              <w:bottom w:val="nil"/>
              <w:right w:val="nil"/>
            </w:tcBorders>
            <w:shd w:val="clear"/>
            <w:tcMar>
              <w:top w:w="120" w:type="dxa"/>
              <w:left w:w="120" w:type="dxa"/>
              <w:bottom w:w="120" w:type="dxa"/>
              <w:right w:w="120" w:type="dxa"/>
            </w:tcMar>
            <w:vAlign w:val="center"/>
          </w:tcPr>
          <w:p w14:paraId="750E726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Colorless or pale yellow transparent liquid</w:t>
            </w:r>
          </w:p>
        </w:tc>
      </w:tr>
      <w:tr w14:paraId="36D1AD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0" w:type="auto"/>
            <w:tcBorders>
              <w:top w:val="nil"/>
              <w:left w:val="nil"/>
              <w:bottom w:val="nil"/>
              <w:right w:val="nil"/>
            </w:tcBorders>
            <w:shd w:val="clear"/>
            <w:tcMar>
              <w:top w:w="120" w:type="dxa"/>
              <w:left w:w="120" w:type="dxa"/>
              <w:bottom w:w="120" w:type="dxa"/>
              <w:right w:w="120" w:type="dxa"/>
            </w:tcMar>
            <w:vAlign w:val="center"/>
          </w:tcPr>
          <w:p w14:paraId="5D29AA5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Solid content</w:t>
            </w:r>
          </w:p>
        </w:tc>
        <w:tc>
          <w:tcPr>
            <w:tcW w:w="0" w:type="auto"/>
            <w:tcBorders>
              <w:top w:val="nil"/>
              <w:left w:val="nil"/>
              <w:bottom w:val="nil"/>
              <w:right w:val="nil"/>
            </w:tcBorders>
            <w:shd w:val="clear"/>
            <w:tcMar>
              <w:top w:w="120" w:type="dxa"/>
              <w:left w:w="120" w:type="dxa"/>
              <w:bottom w:w="120" w:type="dxa"/>
              <w:right w:w="120" w:type="dxa"/>
            </w:tcMar>
            <w:vAlign w:val="center"/>
          </w:tcPr>
          <w:p w14:paraId="2AB32F1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40%±1%</w:t>
            </w:r>
          </w:p>
        </w:tc>
      </w:tr>
      <w:tr w14:paraId="6C5069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0" w:type="auto"/>
            <w:tcBorders>
              <w:top w:val="nil"/>
              <w:left w:val="nil"/>
              <w:bottom w:val="nil"/>
              <w:right w:val="nil"/>
            </w:tcBorders>
            <w:shd w:val="clear"/>
            <w:tcMar>
              <w:top w:w="120" w:type="dxa"/>
              <w:left w:w="120" w:type="dxa"/>
              <w:bottom w:w="120" w:type="dxa"/>
              <w:right w:w="120" w:type="dxa"/>
            </w:tcMar>
            <w:vAlign w:val="center"/>
          </w:tcPr>
          <w:p w14:paraId="5F6B8A02">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Colloid charge</w:t>
            </w:r>
          </w:p>
        </w:tc>
        <w:tc>
          <w:tcPr>
            <w:tcW w:w="0" w:type="auto"/>
            <w:tcBorders>
              <w:top w:val="nil"/>
              <w:left w:val="nil"/>
              <w:bottom w:val="nil"/>
              <w:right w:val="nil"/>
            </w:tcBorders>
            <w:shd w:val="clear"/>
            <w:tcMar>
              <w:top w:w="120" w:type="dxa"/>
              <w:left w:w="120" w:type="dxa"/>
              <w:bottom w:w="120" w:type="dxa"/>
              <w:right w:w="120" w:type="dxa"/>
            </w:tcMar>
            <w:vAlign w:val="center"/>
          </w:tcPr>
          <w:p w14:paraId="6A64221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Non-ionic</w:t>
            </w:r>
          </w:p>
        </w:tc>
      </w:tr>
      <w:tr w14:paraId="3961E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0" w:type="auto"/>
            <w:tcBorders>
              <w:top w:val="nil"/>
              <w:left w:val="nil"/>
              <w:bottom w:val="nil"/>
              <w:right w:val="nil"/>
            </w:tcBorders>
            <w:shd w:val="clear"/>
            <w:tcMar>
              <w:top w:w="120" w:type="dxa"/>
              <w:left w:w="120" w:type="dxa"/>
              <w:bottom w:w="120" w:type="dxa"/>
              <w:right w:w="120" w:type="dxa"/>
            </w:tcMar>
            <w:vAlign w:val="center"/>
          </w:tcPr>
          <w:p w14:paraId="49E3B8F1">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Viscosity</w:t>
            </w:r>
          </w:p>
        </w:tc>
        <w:tc>
          <w:tcPr>
            <w:tcW w:w="0" w:type="auto"/>
            <w:tcBorders>
              <w:top w:val="nil"/>
              <w:left w:val="nil"/>
              <w:bottom w:val="nil"/>
              <w:right w:val="nil"/>
            </w:tcBorders>
            <w:shd w:val="clear"/>
            <w:tcMar>
              <w:top w:w="120" w:type="dxa"/>
              <w:left w:w="120" w:type="dxa"/>
              <w:bottom w:w="120" w:type="dxa"/>
              <w:right w:w="120" w:type="dxa"/>
            </w:tcMar>
            <w:vAlign w:val="center"/>
          </w:tcPr>
          <w:p w14:paraId="2EB22B3D">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1500-3000 mPa·s (25℃)</w:t>
            </w:r>
          </w:p>
        </w:tc>
      </w:tr>
      <w:tr w14:paraId="4EB33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54" w:hRule="exact"/>
          <w:jc w:val="center"/>
        </w:trPr>
        <w:tc>
          <w:tcPr>
            <w:tcW w:w="0" w:type="auto"/>
            <w:tcBorders>
              <w:top w:val="nil"/>
              <w:left w:val="nil"/>
              <w:bottom w:val="single" w:color="000000" w:themeColor="text1" w:sz="8" w:space="0"/>
              <w:right w:val="nil"/>
            </w:tcBorders>
            <w:shd w:val="clear"/>
            <w:tcMar>
              <w:top w:w="120" w:type="dxa"/>
              <w:left w:w="120" w:type="dxa"/>
              <w:bottom w:w="120" w:type="dxa"/>
              <w:right w:w="120" w:type="dxa"/>
            </w:tcMar>
            <w:vAlign w:val="center"/>
          </w:tcPr>
          <w:p w14:paraId="59BAED63">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Specific gravity</w:t>
            </w:r>
          </w:p>
        </w:tc>
        <w:tc>
          <w:tcPr>
            <w:tcW w:w="0" w:type="auto"/>
            <w:tcBorders>
              <w:top w:val="nil"/>
              <w:left w:val="nil"/>
              <w:bottom w:val="single" w:color="000000" w:themeColor="text1" w:sz="8" w:space="0"/>
              <w:right w:val="nil"/>
            </w:tcBorders>
            <w:shd w:val="clear"/>
            <w:tcMar>
              <w:top w:w="120" w:type="dxa"/>
              <w:left w:w="120" w:type="dxa"/>
              <w:bottom w:w="120" w:type="dxa"/>
              <w:right w:w="120" w:type="dxa"/>
            </w:tcMar>
            <w:vAlign w:val="center"/>
          </w:tcPr>
          <w:p w14:paraId="6F4850A8">
            <w:pPr>
              <w:keepNext w:val="0"/>
              <w:keepLines w:val="0"/>
              <w:pageBreakBefore w:val="0"/>
              <w:widowControl/>
              <w:suppressLineNumbers w:val="0"/>
              <w:kinsoku/>
              <w:wordWrap/>
              <w:overflowPunct/>
              <w:topLinePunct w:val="0"/>
              <w:autoSpaceDE/>
              <w:autoSpaceDN/>
              <w:bidi w:val="0"/>
              <w:adjustRightInd/>
              <w:snapToGrid/>
              <w:spacing w:line="360" w:lineRule="exact"/>
              <w:jc w:val="center"/>
              <w:textAlignment w:val="auto"/>
              <w:rPr>
                <w:rFonts w:hint="default" w:ascii="Arial" w:hAnsi="Arial" w:cs="Arial"/>
                <w:caps w:val="0"/>
                <w:spacing w:val="0"/>
              </w:rPr>
            </w:pPr>
            <w:r>
              <w:rPr>
                <w:rFonts w:hint="default" w:ascii="Arial" w:hAnsi="Arial" w:eastAsia="宋体" w:cs="Arial"/>
                <w:caps w:val="0"/>
                <w:spacing w:val="0"/>
                <w:kern w:val="0"/>
                <w:sz w:val="24"/>
                <w:szCs w:val="24"/>
                <w:bdr w:val="none" w:color="auto" w:sz="0" w:space="0"/>
                <w:lang w:val="en-US" w:eastAsia="zh-CN" w:bidi="ar"/>
              </w:rPr>
              <w:t>1.02-1.06 g/cm³</w:t>
            </w:r>
          </w:p>
        </w:tc>
      </w:tr>
    </w:tbl>
    <w:p w14:paraId="387A48D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Refer to the actual COA for details.</w:t>
      </w:r>
    </w:p>
    <w:p w14:paraId="1BD37CF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p>
    <w:p w14:paraId="221EB23A">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color w:val="000000"/>
          <w:sz w:val="28"/>
          <w:szCs w:val="28"/>
        </w:rPr>
      </w:pPr>
      <w:r>
        <w:rPr>
          <w:rFonts w:hint="default" w:ascii="Arial" w:hAnsi="Arial" w:eastAsia="宋体" w:cs="Arial"/>
          <w:color w:val="000000"/>
          <w:sz w:val="28"/>
          <w:szCs w:val="28"/>
        </w:rPr>
        <w:t>Application Scope</w:t>
      </w:r>
    </w:p>
    <w:p w14:paraId="3028F40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r>
        <w:rPr>
          <w:rFonts w:hint="default" w:ascii="Arial" w:hAnsi="Arial" w:eastAsia="宋体" w:cs="Arial"/>
          <w:color w:val="000000"/>
          <w:kern w:val="0"/>
          <w:sz w:val="24"/>
          <w:szCs w:val="24"/>
          <w:lang w:val="en-US" w:eastAsia="zh-CN" w:bidi="ar"/>
        </w:rPr>
        <w:t>Water-based coatings, water-based adhesives, water-based inks, textile coatings, leather finishing and other fields</w:t>
      </w:r>
    </w:p>
    <w:p w14:paraId="681332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kern w:val="0"/>
          <w:sz w:val="24"/>
          <w:szCs w:val="24"/>
          <w:lang w:val="en-US" w:eastAsia="zh-CN" w:bidi="ar"/>
        </w:rPr>
      </w:pPr>
    </w:p>
    <w:p w14:paraId="190D5474">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color w:val="000000"/>
          <w:sz w:val="28"/>
          <w:szCs w:val="28"/>
        </w:rPr>
      </w:pPr>
      <w:r>
        <w:rPr>
          <w:rFonts w:hint="default" w:ascii="Arial" w:hAnsi="Arial" w:cs="Arial"/>
          <w:color w:val="000000"/>
          <w:sz w:val="28"/>
          <w:szCs w:val="28"/>
        </w:rPr>
        <w:t>Product Features</w:t>
      </w:r>
    </w:p>
    <w:p w14:paraId="3222C9C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1.</w:t>
      </w:r>
      <w:r>
        <w:rPr>
          <w:rFonts w:hint="default" w:ascii="Arial" w:hAnsi="Arial" w:eastAsia="宋体" w:cs="Arial"/>
          <w:color w:val="000000"/>
          <w:sz w:val="24"/>
          <w:szCs w:val="24"/>
        </w:rPr>
        <w:t>High shear thickener</w:t>
      </w:r>
    </w:p>
    <w:p w14:paraId="3509BB1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2.</w:t>
      </w:r>
      <w:r>
        <w:rPr>
          <w:rFonts w:hint="default" w:ascii="Arial" w:hAnsi="Arial" w:eastAsia="宋体" w:cs="Arial"/>
          <w:color w:val="000000"/>
          <w:sz w:val="24"/>
          <w:szCs w:val="24"/>
        </w:rPr>
        <w:t>Excellent thickening effect, fluidity and leveling property</w:t>
      </w:r>
    </w:p>
    <w:p w14:paraId="4CF07E33">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3.</w:t>
      </w:r>
      <w:r>
        <w:rPr>
          <w:rFonts w:hint="default" w:ascii="Arial" w:hAnsi="Arial" w:eastAsia="宋体" w:cs="Arial"/>
          <w:color w:val="000000"/>
          <w:sz w:val="24"/>
          <w:szCs w:val="24"/>
        </w:rPr>
        <w:t>Free of organotin, APEO and other toxic substances</w:t>
      </w:r>
    </w:p>
    <w:p w14:paraId="146DA8E0">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4.</w:t>
      </w:r>
      <w:r>
        <w:rPr>
          <w:rFonts w:hint="default" w:ascii="Arial" w:hAnsi="Arial" w:eastAsia="宋体" w:cs="Arial"/>
          <w:color w:val="000000"/>
          <w:sz w:val="24"/>
          <w:szCs w:val="24"/>
        </w:rPr>
        <w:t>Good dispersibility, which assists in the wetting and dispersion of pigments in the formulation</w:t>
      </w:r>
    </w:p>
    <w:p w14:paraId="6810D6B6">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5.</w:t>
      </w:r>
      <w:r>
        <w:rPr>
          <w:rFonts w:hint="default" w:ascii="Arial" w:hAnsi="Arial" w:eastAsia="宋体" w:cs="Arial"/>
          <w:color w:val="000000"/>
          <w:sz w:val="24"/>
          <w:szCs w:val="24"/>
        </w:rPr>
        <w:t>Non-ionic nature, with performance unaffected by the pH value of the system</w:t>
      </w:r>
    </w:p>
    <w:p w14:paraId="790738CE">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6.</w:t>
      </w:r>
      <w:r>
        <w:rPr>
          <w:rFonts w:hint="default" w:ascii="Arial" w:hAnsi="Arial" w:eastAsia="宋体" w:cs="Arial"/>
          <w:color w:val="000000"/>
          <w:sz w:val="24"/>
          <w:szCs w:val="24"/>
        </w:rPr>
        <w:t>No adverse effect on the gloss of formulated products</w:t>
      </w:r>
    </w:p>
    <w:p w14:paraId="358AA2C3">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eastAsia="宋体" w:cs="Arial"/>
          <w:color w:val="000000"/>
          <w:sz w:val="28"/>
          <w:szCs w:val="28"/>
        </w:rPr>
      </w:pPr>
      <w:r>
        <w:rPr>
          <w:rFonts w:hint="default" w:ascii="Arial" w:hAnsi="Arial" w:eastAsia="宋体" w:cs="Arial"/>
          <w:color w:val="000000"/>
          <w:sz w:val="28"/>
          <w:szCs w:val="28"/>
        </w:rPr>
        <w:t>Dosage and Application Method</w:t>
      </w:r>
    </w:p>
    <w:p w14:paraId="7467776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1.</w:t>
      </w:r>
      <w:r>
        <w:rPr>
          <w:rFonts w:hint="default" w:ascii="Arial" w:hAnsi="Arial" w:eastAsia="宋体" w:cs="Arial"/>
          <w:color w:val="000000"/>
          <w:sz w:val="24"/>
          <w:szCs w:val="24"/>
        </w:rPr>
        <w:t>Dosage: 0.2-2.0% relative to the total formulation. Conduct tests to determine the optimal dosage according to the system components and required fluidity before addition.</w:t>
      </w:r>
    </w:p>
    <w:p w14:paraId="0FEFC3B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2.</w:t>
      </w:r>
      <w:r>
        <w:rPr>
          <w:rFonts w:hint="default" w:ascii="Arial" w:hAnsi="Arial" w:eastAsia="宋体" w:cs="Arial"/>
          <w:color w:val="000000"/>
          <w:sz w:val="24"/>
          <w:szCs w:val="24"/>
        </w:rPr>
        <w:t>It can be added either before or after grinding. It is recommended to add a portion in the early stage and the rest in the later stage.</w:t>
      </w:r>
    </w:p>
    <w:p w14:paraId="2B35C71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3.</w:t>
      </w:r>
      <w:r>
        <w:rPr>
          <w:rFonts w:hint="default" w:ascii="Arial" w:hAnsi="Arial" w:eastAsia="宋体" w:cs="Arial"/>
          <w:color w:val="000000"/>
          <w:sz w:val="24"/>
          <w:szCs w:val="24"/>
        </w:rPr>
        <w:t>No pre-dilution is required for use due to good dispersibility; if dilution is needed, water-based solvents can be used.</w:t>
      </w:r>
    </w:p>
    <w:p w14:paraId="003FE2D9">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宋体" w:cs="Arial"/>
          <w:color w:val="000000"/>
          <w:sz w:val="28"/>
          <w:szCs w:val="28"/>
        </w:rPr>
      </w:pPr>
      <w:r>
        <w:rPr>
          <w:rFonts w:hint="default" w:ascii="Arial" w:hAnsi="Arial" w:eastAsia="宋体" w:cs="Arial"/>
          <w:color w:val="000000"/>
          <w:sz w:val="28"/>
          <w:szCs w:val="28"/>
        </w:rPr>
        <w:t>Notes</w:t>
      </w:r>
    </w:p>
    <w:p w14:paraId="61331961">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1.</w:t>
      </w:r>
      <w:r>
        <w:rPr>
          <w:rFonts w:hint="default" w:ascii="Arial" w:hAnsi="Arial" w:eastAsia="宋体" w:cs="Arial"/>
          <w:color w:val="000000"/>
          <w:sz w:val="24"/>
          <w:szCs w:val="24"/>
        </w:rPr>
        <w:t>Associative thickening is affected by temperature: viscosity is higher at low temperatures and lower at high temperatures. Temperature conditions should be taken into account when designing the formulation.</w:t>
      </w:r>
    </w:p>
    <w:p w14:paraId="30989CB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2.</w:t>
      </w:r>
      <w:r>
        <w:rPr>
          <w:rFonts w:hint="default" w:ascii="Arial" w:hAnsi="Arial" w:eastAsia="宋体" w:cs="Arial"/>
          <w:color w:val="000000"/>
          <w:sz w:val="24"/>
          <w:szCs w:val="24"/>
        </w:rPr>
        <w:t>Re-test shall be conducted when the batch of thickened raw materials is changed to confirm the dosage of the thickener.</w:t>
      </w:r>
    </w:p>
    <w:p w14:paraId="065E5652">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3.</w:t>
      </w:r>
      <w:r>
        <w:rPr>
          <w:rFonts w:hint="default" w:ascii="Arial" w:hAnsi="Arial" w:eastAsia="宋体" w:cs="Arial"/>
          <w:color w:val="000000"/>
          <w:sz w:val="24"/>
          <w:szCs w:val="24"/>
        </w:rPr>
        <w:t>This product may crystallize at low temperatures, and crystallization does not affect product performance. If crystallization occurs, heat the product to melt the crystals before use.</w:t>
      </w:r>
    </w:p>
    <w:p w14:paraId="45F2CB4E">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宋体" w:cs="Arial"/>
          <w:color w:val="000000"/>
          <w:sz w:val="28"/>
          <w:szCs w:val="28"/>
        </w:rPr>
      </w:pPr>
      <w:r>
        <w:rPr>
          <w:rFonts w:hint="default" w:ascii="Arial" w:hAnsi="Arial" w:eastAsia="宋体" w:cs="Arial"/>
          <w:color w:val="000000"/>
          <w:sz w:val="28"/>
          <w:szCs w:val="28"/>
        </w:rPr>
        <w:t>Storage and Shelf Life</w:t>
      </w:r>
    </w:p>
    <w:p w14:paraId="2B0CF3B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1.</w:t>
      </w:r>
      <w:r>
        <w:rPr>
          <w:rFonts w:hint="default" w:ascii="Arial" w:hAnsi="Arial" w:eastAsia="宋体" w:cs="Arial"/>
          <w:color w:val="000000"/>
          <w:sz w:val="24"/>
          <w:szCs w:val="24"/>
        </w:rPr>
        <w:t>Store in the original sealed container</w:t>
      </w:r>
    </w:p>
    <w:p w14:paraId="18275F1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2.</w:t>
      </w:r>
      <w:r>
        <w:rPr>
          <w:rFonts w:hint="default" w:ascii="Arial" w:hAnsi="Arial" w:eastAsia="宋体" w:cs="Arial"/>
          <w:color w:val="000000"/>
          <w:sz w:val="24"/>
          <w:szCs w:val="24"/>
        </w:rPr>
        <w:t>Recommended storage temperature: 6-28℃</w:t>
      </w:r>
    </w:p>
    <w:p w14:paraId="0CEEF955">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3.</w:t>
      </w:r>
      <w:r>
        <w:rPr>
          <w:rFonts w:hint="default" w:ascii="Arial" w:hAnsi="Arial" w:eastAsia="宋体" w:cs="Arial"/>
          <w:color w:val="000000"/>
          <w:sz w:val="24"/>
          <w:szCs w:val="24"/>
        </w:rPr>
        <w:t>Must be used up within 12 months from the date of production</w:t>
      </w:r>
    </w:p>
    <w:p w14:paraId="51D78A57">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right="0" w:rightChars="0" w:firstLine="480" w:firstLineChars="200"/>
        <w:jc w:val="left"/>
        <w:rPr>
          <w:rFonts w:hint="default" w:ascii="Arial" w:hAnsi="Arial" w:eastAsia="宋体" w:cs="Arial"/>
          <w:color w:val="000000"/>
          <w:sz w:val="24"/>
          <w:szCs w:val="24"/>
        </w:rPr>
      </w:pPr>
      <w:r>
        <w:rPr>
          <w:rFonts w:hint="eastAsia" w:ascii="Arial" w:hAnsi="Arial" w:cs="Arial"/>
          <w:color w:val="000000"/>
          <w:sz w:val="24"/>
          <w:szCs w:val="24"/>
          <w:lang w:val="en-US" w:eastAsia="zh-CN"/>
        </w:rPr>
        <w:t>4.</w:t>
      </w:r>
      <w:r>
        <w:rPr>
          <w:rFonts w:hint="default" w:ascii="Arial" w:hAnsi="Arial" w:eastAsia="宋体" w:cs="Arial"/>
          <w:color w:val="000000"/>
          <w:sz w:val="24"/>
          <w:szCs w:val="24"/>
        </w:rPr>
        <w:t>Avoid direct sunlight and contamination by other substances</w:t>
      </w:r>
    </w:p>
    <w:p w14:paraId="4FAC3A71">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宋体" w:cs="Arial"/>
          <w:color w:val="000000"/>
          <w:sz w:val="28"/>
          <w:szCs w:val="28"/>
        </w:rPr>
      </w:pPr>
      <w:r>
        <w:rPr>
          <w:rFonts w:hint="default" w:ascii="Arial" w:hAnsi="Arial" w:eastAsia="宋体" w:cs="Arial"/>
          <w:color w:val="000000"/>
          <w:sz w:val="28"/>
          <w:szCs w:val="28"/>
        </w:rPr>
        <w:t>Packaging</w:t>
      </w:r>
    </w:p>
    <w:p w14:paraId="11816D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color w:val="000000"/>
          <w:sz w:val="24"/>
          <w:szCs w:val="24"/>
        </w:rPr>
      </w:pPr>
      <w:r>
        <w:rPr>
          <w:rFonts w:hint="default" w:ascii="Arial" w:hAnsi="Arial" w:eastAsia="宋体" w:cs="Arial"/>
          <w:color w:val="000000"/>
          <w:kern w:val="0"/>
          <w:sz w:val="24"/>
          <w:szCs w:val="24"/>
          <w:lang w:val="en-US" w:eastAsia="zh-CN" w:bidi="ar"/>
        </w:rPr>
        <w:t>Available in 50kg, 125kg and IBC ton drum packaging; customized packaging can be provided according to customer requirements.</w:t>
      </w:r>
    </w:p>
    <w:p w14:paraId="0800831E">
      <w:pPr>
        <w:pStyle w:val="10"/>
        <w:rPr>
          <w:rFonts w:hint="default" w:ascii="Arial" w:hAnsi="Arial" w:eastAsia="宋体" w:cs="Arial"/>
          <w:b/>
          <w:bCs/>
        </w:rPr>
      </w:pPr>
    </w:p>
    <w:p w14:paraId="4C4AF1FB">
      <w:pPr>
        <w:pStyle w:val="10"/>
        <w:rPr>
          <w:rFonts w:hint="default" w:ascii="Arial" w:hAnsi="Arial" w:eastAsia="宋体" w:cs="Arial"/>
          <w:b/>
          <w:bCs/>
        </w:rPr>
      </w:pPr>
    </w:p>
    <w:p w14:paraId="318456A9">
      <w:pPr>
        <w:pStyle w:val="10"/>
        <w:rPr>
          <w:rFonts w:hint="default" w:ascii="Arial" w:hAnsi="Arial" w:eastAsia="宋体" w:cs="Arial"/>
          <w:b/>
          <w:bCs/>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62F00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vAlign w:val="top"/>
          </w:tcPr>
          <w:p w14:paraId="7EC0BC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firstLine="480" w:firstLineChars="200"/>
              <w:jc w:val="left"/>
              <w:rPr>
                <w:rFonts w:hint="default" w:ascii="Arial" w:hAnsi="Arial" w:eastAsia="宋体" w:cs="Arial"/>
                <w:b/>
                <w:bCs/>
                <w:sz w:val="24"/>
              </w:rPr>
            </w:pPr>
            <w:bookmarkStart w:id="0" w:name="_GoBack"/>
            <w:r>
              <w:rPr>
                <w:rFonts w:hint="default" w:ascii="Arial" w:hAnsi="Arial" w:cs="Arial"/>
                <w:color w:val="000000"/>
                <w:sz w:val="24"/>
                <w:szCs w:val="24"/>
              </w:rPr>
              <w:t>The above information only represents our laboratory quality evaluation results and does not guarantee the product’s performance or suitability for specific applications. Please conduct necessary tests before use. Thank you for your choice and support!</w:t>
            </w:r>
            <w:bookmarkEnd w:id="0"/>
          </w:p>
        </w:tc>
      </w:tr>
    </w:tbl>
    <w:p w14:paraId="689B5CD4">
      <w:pPr>
        <w:pStyle w:val="10"/>
        <w:rPr>
          <w:rFonts w:hint="default" w:ascii="Arial" w:hAnsi="Arial" w:eastAsia="宋体" w:cs="Arial"/>
          <w:b/>
          <w:bCs/>
        </w:rPr>
      </w:pPr>
    </w:p>
    <w:sectPr>
      <w:headerReference r:id="rId3" w:type="default"/>
      <w:footerReference r:id="rId4" w:type="default"/>
      <w:type w:val="continuous"/>
      <w:pgSz w:w="11906" w:h="16838"/>
      <w:pgMar w:top="850" w:right="1417" w:bottom="850" w:left="1417" w:header="851" w:footer="624"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宋体">
    <w:altName w:val="宋体"/>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E22AA6">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1312"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24A83D">
                          <w:pPr>
                            <w:pStyle w:val="5"/>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1312;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2424A83D">
                    <w:pPr>
                      <w:pStyle w:val="5"/>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7FB3DD">
    <w:pPr>
      <w:pStyle w:val="6"/>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margin">
                <wp:posOffset>4003675</wp:posOffset>
              </wp:positionH>
              <wp:positionV relativeFrom="paragraph">
                <wp:posOffset>27940</wp:posOffset>
              </wp:positionV>
              <wp:extent cx="2125345" cy="447675"/>
              <wp:effectExtent l="0" t="0" r="0" b="0"/>
              <wp:wrapNone/>
              <wp:docPr id="3" name="文本框 3"/>
              <wp:cNvGraphicFramePr/>
              <a:graphic xmlns:a="http://schemas.openxmlformats.org/drawingml/2006/main">
                <a:graphicData uri="http://schemas.microsoft.com/office/word/2010/wordprocessingShape">
                  <wps:wsp>
                    <wps:cNvSpPr txBox="1"/>
                    <wps:spPr>
                      <a:xfrm>
                        <a:off x="0" y="0"/>
                        <a:ext cx="2125531" cy="4476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44905">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48"/>
                              <w:szCs w:val="48"/>
                              <w14:shadow w14:blurRad="38100" w14:dist="19050" w14:dir="2700000" w14:sx="100000" w14:sy="100000" w14:kx="0" w14:ky="0" w14:algn="tl">
                                <w14:schemeClr w14:val="dk1">
                                  <w14:alpha w14:val="60000"/>
                                </w14:schemeClr>
                              </w14:shadow>
                              <w14:props3d w14:extrusionH="0" w14:contourW="0" w14:prstMaterial="clear"/>
                            </w:rPr>
                            <w:t>HEUR-540C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5.25pt;margin-top:2.2pt;height:35.25pt;width:167.35pt;mso-position-horizontal-relative:margin;z-index:251659264;mso-width-relative:page;mso-height-relative:page;" filled="f" stroked="f" coordsize="21600,21600" o:gfxdata="UEsDBAoAAAAAAIdO4kAAAAAAAAAAAAAAAAAEAAAAZHJzL1BLAwQUAAAACACHTuJAyYw8qNoAAAAI&#10;AQAADwAAAGRycy9kb3ducmV2LnhtbE2Py07DMBRE90j8g3WR2FG7IQltyE2FIlVIiC5aumF3E7tJ&#10;hB8hdh/w9ZgVLEczmjlTri5Gs5Oa/OAswnwmgCnbOjnYDmH/tr5bAPOBrCTtrEL4Uh5W1fVVSYV0&#10;Z7tVp13oWCyxviCEPoSx4Ny3vTLkZ25UNnoHNxkKUU4dlxOdY7nRPBEi54YGGxd6GlXdq/ZjdzQI&#10;L/V6Q9smMYtvXT+/Hp7Gz/17hnh7MxePwIK6hL8w/OJHdKgiU+OOVnqmEfJ7kcUoQpoCi/4yzxJg&#10;DcJDugRelfz/geoHUEsDBBQAAAAIAIdO4kCAVyGpOgIAAGYEAAAOAAAAZHJzL2Uyb0RvYy54bWyt&#10;VM2OEzEMviPxDlHudPq/UHW6KlsVIVXsSgVxTjNJZ6QkDknamfIA8AacuHDnufocOJm2Wy0c9sAl&#10;dWzPZ3+fnU5vG63IXjhfgclpr9OlRBgORWW2Of30cfnqNSU+MFMwBUbk9CA8vZ29fDGt7UT0oQRV&#10;CEcQxPhJbXNahmAnWeZ5KTTzHbDCYFCC0yzg1W2zwrEa0bXK+t3uOKvBFdYBF96jd9EG6QnRPQcQ&#10;pKy4WADfaWFCi+qEYgEp+bKyns5St1IKHu6l9CIQlVNkGtKJRdDexDObTdlk65gtK35qgT2nhSec&#10;NKsMFr1ALVhgZOeqv6B0xR14kKHDQWctkaQIsuh1n2izLpkViQtK7e1FdP//YPmH/YMjVZHTASWG&#10;aRz48cf348/fx1/fyCDKU1s/way1xbzQvIUGl+bs9+iMrBvpdPxFPgTjKO7hIq5oAuHo7Pf6o9Gg&#10;RwnH2HB4M74ZRZjs8WvrfHgnQJNo5NTh8JKmbL/yoU09p8RiBpaVUmmAypA6p+PBqJs+uEQQXBms&#10;ETm0vUYrNJvmRGwDxQF5OWgXw1u+rLD4ivnwwBxuAlLBtxLu8ZAKsAicLEpKcF//5Y/5OCCMUlLj&#10;ZuXUf9kxJyhR7w2O7k1vOIyrmC7D0U0fL+46srmOmJ2+A1xeFA67S2bMD+psSgf6Mz6peayKIWY4&#10;1s5pOJt3od13fJJczOcpCZfPsrAya8sjdCvnfBdAVknpKFOrzUk9XL80q9NTift9fU9Zj38Psz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JjDyo2gAAAAgBAAAPAAAAAAAAAAEAIAAAACIAAABkcnMv&#10;ZG93bnJldi54bWxQSwECFAAUAAAACACHTuJAgFchqToCAABmBAAADgAAAAAAAAABACAAAAApAQAA&#10;ZHJzL2Uyb0RvYy54bWxQSwUGAAAAAAYABgBZAQAA1QUAAAAA&#10;">
              <v:fill on="f" focussize="0,0"/>
              <v:stroke on="f" weight="0.5pt"/>
              <v:imagedata o:title=""/>
              <o:lock v:ext="edit" aspectratio="f"/>
              <v:textbox>
                <w:txbxContent>
                  <w:p w14:paraId="33044905">
                    <w:pP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48"/>
                        <w:szCs w:val="48"/>
                        <w14:shadow w14:blurRad="38100" w14:dist="19050" w14:dir="2700000" w14:sx="100000" w14:sy="100000" w14:kx="0" w14:ky="0" w14:algn="tl">
                          <w14:schemeClr w14:val="dk1">
                            <w14:alpha w14:val="60000"/>
                          </w14:schemeClr>
                        </w14:shadow>
                        <w14:props3d w14:extrusionH="0" w14:contourW="0" w14:prstMaterial="clear"/>
                      </w:rPr>
                      <w:t>HEUR-540C</w:t>
                    </w:r>
                  </w:p>
                </w:txbxContent>
              </v:textbox>
            </v:shape>
          </w:pict>
        </mc:Fallback>
      </mc:AlternateContent>
    </w:r>
    <w:r>
      <w:rPr>
        <w:sz w:val="10"/>
      </w:rPr>
      <mc:AlternateContent>
        <mc:Choice Requires="wps">
          <w:drawing>
            <wp:anchor distT="0" distB="0" distL="114300" distR="114300" simplePos="0" relativeHeight="251660288" behindDoc="0" locked="0" layoutInCell="1" allowOverlap="1">
              <wp:simplePos x="0" y="0"/>
              <wp:positionH relativeFrom="margin">
                <wp:posOffset>3616960</wp:posOffset>
              </wp:positionH>
              <wp:positionV relativeFrom="paragraph">
                <wp:posOffset>494665</wp:posOffset>
              </wp:positionV>
              <wp:extent cx="1828800" cy="406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064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F252A">
                          <w:pPr>
                            <w:jc w:val="center"/>
                            <w:rPr>
                              <w:rFonts w:hint="eastAsia"/>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4.8pt;margin-top:38.95pt;height:32pt;width:144pt;mso-position-horizontal-relative:margin;mso-wrap-style:none;z-index:251660288;mso-width-relative:page;mso-height-relative:page;" filled="f" stroked="f" coordsize="21600,21600" o:gfxdata="UEsDBAoAAAAAAIdO4kAAAAAAAAAAAAAAAAAEAAAAZHJzL1BLAwQUAAAACACHTuJABJu2wNwAAAAK&#10;AQAADwAAAGRycy9kb3ducmV2LnhtbE2PTUvDQBCG74L/YRnBi7S7EZs0MZuCgiJSlbYiPW6zYxKa&#10;3Q27m378e8eTHmfm4Z3nLRcn07MD+tA5KyGZCmBoa6c720j43DxN5sBCVFar3lmUcMYAi+ryolSF&#10;dke7wsM6NoxCbCiUhDbGoeA81C0aFaZuQEu3b+eNijT6hmuvjhRuen4rRMqN6ix9aNWAjy3W+/Vo&#10;JOzb15sP8fz28JW+nP37ZnRbv9xKeX2ViHtgEU/xD4ZffVKHipx2brQ6sF7CLM1TQiVkWQ6MgPks&#10;o8WOyLskB16V/H+F6gdQSwMEFAAAAAgAh07iQDBu/Gk4AgAAZAQAAA4AAABkcnMvZTJvRG9jLnht&#10;bK1UwY7aMBC9V+o/WL6XBAqUIsKKLqKqtOquRKuejeMQS7bHsg0J/YD2D3rqpfd+F9/RsQMs2vaw&#10;h16csWf8xu/NTGY3rVZkL5yXYAra7+WUCMOhlGZb0M+fVq8mlPjATMkUGFHQg/D0Zv7yxayxUzGA&#10;GlQpHEEQ46eNLWgdgp1mmee10Mz3wAqDzgqcZgG3bpuVjjWIrlU2yPNx1oArrQMuvMfTZeekJ0T3&#10;HECoKsnFEvhOCxM6VCcUC0jJ19J6Ok+vrSrBw31VeRGIKigyDWnFJGhv4prNZ2y6dczWkp+ewJ7z&#10;hCecNJMGk16gliwwsnPyLygtuQMPVehx0FlHJCmCLPr5E23WNbMicUGpvb2I7v8fLP+4f3BElgUd&#10;UWKYxoIff3w//vx9/PWNjKI8jfVTjFpbjAvtO2ixac7nHg8j67ZyOn6RD0E/inu4iCvaQHi8NBlM&#10;Jjm6OPqG+XiINsJnj7et8+G9AE2iUVCHxUuasv2dD13oOSQmM7CSSqUCKkOago5fj/J04eJBcGUw&#10;R+TQvTVaod20J2IbKA/Iy0HXGN7ylcTkd8yHB+awE/C9OCvhHpdKASaBk0VJDe7rv85jPBYIvZQ0&#10;2FkFNThIlKgPBgv3tj8cImhIm+HozQA37tqzufaYnb4FbN0+zqTlyYzxQZ3NyoH+ggO1iDnRxQzH&#10;zAUNZ/M2dN2OA8nFYpGCsPUsC3dmbXmE7sRc7AJUMukcReqUOWmHzZcqdRqU2N3X+xT1+HOY/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Em7bA3AAAAAoBAAAPAAAAAAAAAAEAIAAAACIAAABkcnMv&#10;ZG93bnJldi54bWxQSwECFAAUAAAACACHTuJAMG78aTgCAABkBAAADgAAAAAAAAABACAAAAArAQAA&#10;ZHJzL2Uyb0RvYy54bWxQSwUGAAAAAAYABgBZAQAA1QUAAAAA&#10;">
              <v:fill on="f" focussize="0,0"/>
              <v:stroke on="f" weight="0.5pt"/>
              <v:imagedata o:title=""/>
              <o:lock v:ext="edit" aspectratio="f"/>
              <v:textbox>
                <w:txbxContent>
                  <w:p w14:paraId="193F252A">
                    <w:pPr>
                      <w:jc w:val="center"/>
                      <w:rPr>
                        <w:rFonts w:hint="eastAsia"/>
                      </w:rPr>
                    </w:pPr>
                    <w:r>
                      <w:rPr>
                        <w:rFonts w:hint="default"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Polyurethane Rheology Additive</w:t>
                    </w:r>
                  </w:p>
                </w:txbxContent>
              </v:textbox>
            </v:shape>
          </w:pict>
        </mc:Fallback>
      </mc:AlternateContent>
    </w:r>
    <w:r>
      <w:rPr>
        <w:sz w:val="10"/>
        <w:szCs w:val="10"/>
      </w:rPr>
      <w:drawing>
        <wp:inline distT="0" distB="0" distL="0" distR="0">
          <wp:extent cx="773430" cy="877570"/>
          <wp:effectExtent l="0" t="0" r="7620" b="1778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FkMmFjNTIzYTc2MzM4YzI5MjhhZjFlYzFlYTkyNWUifQ=="/>
    <w:docVar w:name="KSO_WPS_MARK_KEY" w:val="9e5ed2ef-df1b-49b7-8e7e-1ada10df08c8"/>
  </w:docVars>
  <w:rsids>
    <w:rsidRoot w:val="00912B14"/>
    <w:rsid w:val="000059BA"/>
    <w:rsid w:val="0004443A"/>
    <w:rsid w:val="000B770F"/>
    <w:rsid w:val="000F7CCE"/>
    <w:rsid w:val="00136635"/>
    <w:rsid w:val="001549F3"/>
    <w:rsid w:val="00156019"/>
    <w:rsid w:val="00200121"/>
    <w:rsid w:val="0020529D"/>
    <w:rsid w:val="00264EA8"/>
    <w:rsid w:val="00296707"/>
    <w:rsid w:val="002F6D5B"/>
    <w:rsid w:val="003550AC"/>
    <w:rsid w:val="003B16AF"/>
    <w:rsid w:val="003F48D2"/>
    <w:rsid w:val="00455912"/>
    <w:rsid w:val="00505831"/>
    <w:rsid w:val="00527365"/>
    <w:rsid w:val="00596990"/>
    <w:rsid w:val="005D2EFD"/>
    <w:rsid w:val="006467A1"/>
    <w:rsid w:val="006806FB"/>
    <w:rsid w:val="007F0471"/>
    <w:rsid w:val="008146DC"/>
    <w:rsid w:val="0085623B"/>
    <w:rsid w:val="008667C6"/>
    <w:rsid w:val="00867CB0"/>
    <w:rsid w:val="00912B14"/>
    <w:rsid w:val="00942B6C"/>
    <w:rsid w:val="0097112D"/>
    <w:rsid w:val="00A23D4B"/>
    <w:rsid w:val="00A840FC"/>
    <w:rsid w:val="00AF037D"/>
    <w:rsid w:val="00B829A2"/>
    <w:rsid w:val="00BB18F4"/>
    <w:rsid w:val="00CB1423"/>
    <w:rsid w:val="00CE110F"/>
    <w:rsid w:val="00D33741"/>
    <w:rsid w:val="00D55D1D"/>
    <w:rsid w:val="00D7688D"/>
    <w:rsid w:val="00D8489A"/>
    <w:rsid w:val="00DF58F0"/>
    <w:rsid w:val="00E64056"/>
    <w:rsid w:val="00E841A6"/>
    <w:rsid w:val="00EB567E"/>
    <w:rsid w:val="00F02A8D"/>
    <w:rsid w:val="00F253D2"/>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8567FD"/>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5B5212"/>
    <w:rsid w:val="289366BF"/>
    <w:rsid w:val="28D249F8"/>
    <w:rsid w:val="28DC7F0B"/>
    <w:rsid w:val="29FE3870"/>
    <w:rsid w:val="2A24213D"/>
    <w:rsid w:val="2A2A637C"/>
    <w:rsid w:val="2A706411"/>
    <w:rsid w:val="2AB8212C"/>
    <w:rsid w:val="2AFD21C9"/>
    <w:rsid w:val="2D0619FA"/>
    <w:rsid w:val="2D534BA2"/>
    <w:rsid w:val="2DA21723"/>
    <w:rsid w:val="2DBA1DF2"/>
    <w:rsid w:val="2DCC054E"/>
    <w:rsid w:val="2EEB0EA8"/>
    <w:rsid w:val="2F7B222C"/>
    <w:rsid w:val="2F8C6D98"/>
    <w:rsid w:val="2FFC51B3"/>
    <w:rsid w:val="2FFE4C0B"/>
    <w:rsid w:val="304463CA"/>
    <w:rsid w:val="30954A7B"/>
    <w:rsid w:val="30AE3614"/>
    <w:rsid w:val="30D00C4A"/>
    <w:rsid w:val="31815D52"/>
    <w:rsid w:val="31F1602E"/>
    <w:rsid w:val="329A50BF"/>
    <w:rsid w:val="32B617CD"/>
    <w:rsid w:val="33075F48"/>
    <w:rsid w:val="3424477C"/>
    <w:rsid w:val="347161A8"/>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CC1525"/>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7E42EC8"/>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3625877"/>
    <w:rsid w:val="53F266B1"/>
    <w:rsid w:val="53FB3634"/>
    <w:rsid w:val="53FF5197"/>
    <w:rsid w:val="543A3BB4"/>
    <w:rsid w:val="54781E35"/>
    <w:rsid w:val="550B73D9"/>
    <w:rsid w:val="558D5860"/>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Default"/>
    <w:qFormat/>
    <w:uiPriority w:val="0"/>
    <w:pPr>
      <w:widowControl w:val="0"/>
      <w:autoSpaceDE w:val="0"/>
      <w:autoSpaceDN w:val="0"/>
      <w:adjustRightInd w:val="0"/>
    </w:pPr>
    <w:rPr>
      <w:rFonts w:ascii="华文宋体" w:hAnsi="Times New Roman" w:eastAsia="华文宋体" w:cs="华文宋体"/>
      <w:color w:val="000000"/>
      <w:sz w:val="24"/>
      <w:szCs w:val="24"/>
      <w:lang w:val="en-US" w:eastAsia="zh-CN" w:bidi="ar-SA"/>
    </w:rPr>
  </w:style>
  <w:style w:type="character" w:customStyle="1" w:styleId="11">
    <w:name w:val="标题 1 字符"/>
    <w:basedOn w:val="9"/>
    <w:link w:val="2"/>
    <w:qFormat/>
    <w:uiPriority w:val="9"/>
    <w:rPr>
      <w:rFonts w:ascii="宋体" w:hAnsi="宋体" w:cs="宋体"/>
      <w:b/>
      <w:bCs/>
      <w:kern w:val="36"/>
      <w:sz w:val="48"/>
      <w:szCs w:val="4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389</Words>
  <Characters>2371</Characters>
  <Lines>5</Lines>
  <Paragraphs>1</Paragraphs>
  <TotalTime>0</TotalTime>
  <ScaleCrop>false</ScaleCrop>
  <LinksUpToDate>false</LinksUpToDate>
  <CharactersWithSpaces>2723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2025-03-27T02:53:00Z</dcterms:created>
  <dc:creator>Davis</dc:creator>
  <cp:lastModifiedBy>戴眼镜的麻杆。</cp:lastModifiedBy>
  <cp:lastPrinted>2024-08-07T16:31:00Z</cp:lastPrinted>
  <dcterms:modified xsi:type="dcterms:W3CDTF">2026-04-20T07:10:50Z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26AD8B279E2946BDBAFC8A4F8CA04E66_13</vt:lpwstr>
  </property>
  <property fmtid="{D5CDD505-2E9C-101B-9397-08002B2CF9AE}" pid="4" name="KSOTemplateDocerSaveRecord">
    <vt:lpwstr>eyJoZGlkIjoiN2FkMmFjNTIzYTc2MzM4YzI5MjhhZjFlYzFlYTkyNWUiLCJ1c2VySWQiOiIxMTk5MzAzNjYzIn0=</vt:lpwstr>
  </property>
</Properties>
</file>