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72FCE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rFonts w:hint="default" w:ascii="Arial" w:hAnsi="Arial" w:cs="Arial"/>
          <w:color w:val="000000"/>
          <w:sz w:val="24"/>
          <w:szCs w:val="24"/>
        </w:rPr>
      </w:pPr>
      <w:r>
        <w:rPr>
          <w:rFonts w:hint="default" w:ascii="Arial" w:hAnsi="Arial" w:cs="Arial"/>
          <w:color w:val="000000"/>
          <w:sz w:val="36"/>
          <w:szCs w:val="36"/>
        </w:rPr>
        <w:t>Product Technical Specification</w:t>
      </w:r>
    </w:p>
    <w:p w14:paraId="47EB4A5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Product Introduction</w:t>
      </w:r>
    </w:p>
    <w:p w14:paraId="35C6BC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cs="Arial"/>
          <w:color w:val="000000"/>
          <w:sz w:val="24"/>
          <w:szCs w:val="24"/>
        </w:rPr>
      </w:pPr>
      <w:r>
        <w:rPr>
          <w:rFonts w:hint="default" w:ascii="Arial" w:hAnsi="Arial" w:eastAsia="宋体" w:cs="Arial"/>
          <w:color w:val="000000"/>
          <w:kern w:val="0"/>
          <w:sz w:val="24"/>
          <w:szCs w:val="24"/>
          <w:lang w:val="en-US" w:eastAsia="zh-CN" w:bidi="ar"/>
        </w:rPr>
        <w:t>HEUR-540D is a liquid water-based thickener with polyurethane components, featuring high shear performance and easy application. It outperforms traditional cellulose-based thickeners (e.g., HEC hydroxyethyl cellulose, MC methyl cellulose, etc.) and acrylic thickeners in terms of leveling property, film gloss and water resistance.</w:t>
      </w:r>
    </w:p>
    <w:p w14:paraId="003A484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Product Technical Parameters*</w:t>
      </w:r>
    </w:p>
    <w:tbl>
      <w:tblPr>
        <w:tblW w:w="92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2615"/>
        <w:gridCol w:w="6604"/>
      </w:tblGrid>
      <w:tr w14:paraId="37933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454" w:hRule="exact"/>
          <w:tblHeader/>
          <w:jc w:val="center"/>
        </w:trPr>
        <w:tc>
          <w:tcPr>
            <w:tcW w:w="0" w:type="auto"/>
            <w:tcBorders>
              <w:top w:val="single" w:color="000000" w:themeColor="text1" w:sz="8" w:space="0"/>
              <w:left w:val="nil"/>
              <w:bottom w:val="single" w:color="000000" w:themeColor="text1" w:sz="8" w:space="0"/>
              <w:right w:val="nil"/>
            </w:tcBorders>
            <w:shd w:val="clear"/>
            <w:tcMar>
              <w:top w:w="120" w:type="dxa"/>
              <w:left w:w="120" w:type="dxa"/>
              <w:bottom w:w="120" w:type="dxa"/>
              <w:right w:w="120" w:type="dxa"/>
            </w:tcMar>
            <w:vAlign w:val="center"/>
          </w:tcPr>
          <w:p w14:paraId="6C7DB30F">
            <w:pPr>
              <w:keepNext w:val="0"/>
              <w:keepLines w:val="0"/>
              <w:widowControl/>
              <w:suppressLineNumbers w:val="0"/>
              <w:tabs>
                <w:tab w:val="center" w:pos="1187"/>
              </w:tabs>
              <w:jc w:val="center"/>
              <w:rPr>
                <w:rFonts w:hint="default" w:ascii="Arial" w:hAnsi="Arial" w:cs="Arial"/>
                <w:b/>
                <w:bCs/>
                <w:caps w:val="0"/>
                <w:spacing w:val="0"/>
              </w:rPr>
            </w:pPr>
            <w:bookmarkStart w:id="0" w:name="_GoBack" w:colFirst="0" w:colLast="1"/>
            <w:r>
              <w:rPr>
                <w:rFonts w:hint="default" w:ascii="Arial" w:hAnsi="Arial" w:eastAsia="宋体" w:cs="Arial"/>
                <w:b/>
                <w:bCs/>
                <w:caps w:val="0"/>
                <w:spacing w:val="0"/>
                <w:kern w:val="0"/>
                <w:sz w:val="24"/>
                <w:szCs w:val="24"/>
                <w:bdr w:val="none" w:color="auto" w:sz="0" w:space="0"/>
                <w:lang w:val="en-US" w:eastAsia="zh-CN" w:bidi="ar"/>
              </w:rPr>
              <w:t>Item</w:t>
            </w:r>
          </w:p>
        </w:tc>
        <w:tc>
          <w:tcPr>
            <w:tcW w:w="0" w:type="auto"/>
            <w:tcBorders>
              <w:top w:val="single" w:color="000000" w:themeColor="text1" w:sz="8" w:space="0"/>
              <w:left w:val="nil"/>
              <w:bottom w:val="single" w:color="000000" w:themeColor="text1" w:sz="8" w:space="0"/>
              <w:right w:val="nil"/>
            </w:tcBorders>
            <w:shd w:val="clear"/>
            <w:tcMar>
              <w:top w:w="120" w:type="dxa"/>
              <w:left w:w="120" w:type="dxa"/>
              <w:bottom w:w="120" w:type="dxa"/>
              <w:right w:w="120" w:type="dxa"/>
            </w:tcMar>
            <w:vAlign w:val="center"/>
          </w:tcPr>
          <w:p w14:paraId="60F652D6">
            <w:pPr>
              <w:keepNext w:val="0"/>
              <w:keepLines w:val="0"/>
              <w:widowControl/>
              <w:suppressLineNumbers w:val="0"/>
              <w:jc w:val="center"/>
              <w:rPr>
                <w:rFonts w:hint="default" w:ascii="Arial" w:hAnsi="Arial" w:cs="Arial"/>
                <w:b/>
                <w:bCs/>
                <w:caps w:val="0"/>
                <w:spacing w:val="0"/>
              </w:rPr>
            </w:pPr>
            <w:r>
              <w:rPr>
                <w:rFonts w:hint="default" w:ascii="Arial" w:hAnsi="Arial" w:eastAsia="宋体" w:cs="Arial"/>
                <w:b/>
                <w:bCs/>
                <w:caps w:val="0"/>
                <w:spacing w:val="0"/>
                <w:kern w:val="0"/>
                <w:sz w:val="24"/>
                <w:szCs w:val="24"/>
                <w:bdr w:val="none" w:color="auto" w:sz="0" w:space="0"/>
                <w:lang w:val="en-US" w:eastAsia="zh-CN" w:bidi="ar"/>
              </w:rPr>
              <w:t>Specification</w:t>
            </w:r>
          </w:p>
        </w:tc>
      </w:tr>
      <w:bookmarkEnd w:id="0"/>
      <w:tr w14:paraId="7B8DD1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454" w:hRule="exact"/>
          <w:jc w:val="center"/>
        </w:trPr>
        <w:tc>
          <w:tcPr>
            <w:tcW w:w="0" w:type="auto"/>
            <w:tcBorders>
              <w:top w:val="single" w:color="000000" w:themeColor="text1" w:sz="8" w:space="0"/>
              <w:left w:val="nil"/>
              <w:bottom w:val="nil"/>
              <w:right w:val="nil"/>
            </w:tcBorders>
            <w:shd w:val="clear"/>
            <w:tcMar>
              <w:top w:w="120" w:type="dxa"/>
              <w:left w:w="120" w:type="dxa"/>
              <w:bottom w:w="120" w:type="dxa"/>
              <w:right w:w="120" w:type="dxa"/>
            </w:tcMar>
            <w:vAlign w:val="center"/>
          </w:tcPr>
          <w:p w14:paraId="04EE0215">
            <w:pPr>
              <w:keepNext w:val="0"/>
              <w:keepLines w:val="0"/>
              <w:widowControl/>
              <w:suppressLineNumbers w:val="0"/>
              <w:jc w:val="center"/>
              <w:rPr>
                <w:rFonts w:hint="default" w:ascii="Arial" w:hAnsi="Arial" w:cs="Arial"/>
                <w:caps w:val="0"/>
                <w:spacing w:val="0"/>
              </w:rPr>
            </w:pPr>
            <w:r>
              <w:rPr>
                <w:rFonts w:hint="default" w:ascii="Arial" w:hAnsi="Arial" w:eastAsia="宋体" w:cs="Arial"/>
                <w:caps w:val="0"/>
                <w:spacing w:val="0"/>
                <w:kern w:val="0"/>
                <w:sz w:val="24"/>
                <w:szCs w:val="24"/>
                <w:bdr w:val="none" w:color="auto" w:sz="0" w:space="0"/>
                <w:lang w:val="en-US" w:eastAsia="zh-CN" w:bidi="ar"/>
              </w:rPr>
              <w:t>Appearance</w:t>
            </w:r>
          </w:p>
        </w:tc>
        <w:tc>
          <w:tcPr>
            <w:tcW w:w="0" w:type="auto"/>
            <w:tcBorders>
              <w:top w:val="single" w:color="000000" w:themeColor="text1" w:sz="8" w:space="0"/>
              <w:left w:val="nil"/>
              <w:bottom w:val="nil"/>
              <w:right w:val="nil"/>
            </w:tcBorders>
            <w:shd w:val="clear"/>
            <w:tcMar>
              <w:top w:w="120" w:type="dxa"/>
              <w:left w:w="120" w:type="dxa"/>
              <w:bottom w:w="120" w:type="dxa"/>
              <w:right w:w="120" w:type="dxa"/>
            </w:tcMar>
            <w:vAlign w:val="center"/>
          </w:tcPr>
          <w:p w14:paraId="6EA2DF2B">
            <w:pPr>
              <w:keepNext w:val="0"/>
              <w:keepLines w:val="0"/>
              <w:widowControl/>
              <w:suppressLineNumbers w:val="0"/>
              <w:jc w:val="center"/>
              <w:rPr>
                <w:rFonts w:hint="default" w:ascii="Arial" w:hAnsi="Arial" w:cs="Arial"/>
                <w:caps w:val="0"/>
                <w:spacing w:val="0"/>
              </w:rPr>
            </w:pPr>
            <w:r>
              <w:rPr>
                <w:rFonts w:hint="default" w:ascii="Arial" w:hAnsi="Arial" w:eastAsia="宋体" w:cs="Arial"/>
                <w:caps w:val="0"/>
                <w:spacing w:val="0"/>
                <w:kern w:val="0"/>
                <w:sz w:val="24"/>
                <w:szCs w:val="24"/>
                <w:bdr w:val="none" w:color="auto" w:sz="0" w:space="0"/>
                <w:lang w:val="en-US" w:eastAsia="zh-CN" w:bidi="ar"/>
              </w:rPr>
              <w:t>Colorless or pale yellow transparent liquid</w:t>
            </w:r>
          </w:p>
        </w:tc>
      </w:tr>
      <w:tr w14:paraId="18638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4" w:hRule="exact"/>
          <w:jc w:val="center"/>
        </w:trPr>
        <w:tc>
          <w:tcPr>
            <w:tcW w:w="0" w:type="auto"/>
            <w:tcBorders>
              <w:top w:val="nil"/>
              <w:left w:val="nil"/>
              <w:bottom w:val="nil"/>
              <w:right w:val="nil"/>
            </w:tcBorders>
            <w:shd w:val="clear"/>
            <w:tcMar>
              <w:top w:w="120" w:type="dxa"/>
              <w:left w:w="120" w:type="dxa"/>
              <w:bottom w:w="120" w:type="dxa"/>
              <w:right w:w="120" w:type="dxa"/>
            </w:tcMar>
            <w:vAlign w:val="center"/>
          </w:tcPr>
          <w:p w14:paraId="67210C05">
            <w:pPr>
              <w:keepNext w:val="0"/>
              <w:keepLines w:val="0"/>
              <w:widowControl/>
              <w:suppressLineNumbers w:val="0"/>
              <w:jc w:val="center"/>
              <w:rPr>
                <w:rFonts w:hint="default" w:ascii="Arial" w:hAnsi="Arial" w:cs="Arial"/>
                <w:caps w:val="0"/>
                <w:spacing w:val="0"/>
              </w:rPr>
            </w:pPr>
            <w:r>
              <w:rPr>
                <w:rFonts w:hint="default" w:ascii="Arial" w:hAnsi="Arial" w:eastAsia="宋体" w:cs="Arial"/>
                <w:caps w:val="0"/>
                <w:spacing w:val="0"/>
                <w:kern w:val="0"/>
                <w:sz w:val="24"/>
                <w:szCs w:val="24"/>
                <w:bdr w:val="none" w:color="auto" w:sz="0" w:space="0"/>
                <w:lang w:val="en-US" w:eastAsia="zh-CN" w:bidi="ar"/>
              </w:rPr>
              <w:t>Solid content</w:t>
            </w:r>
          </w:p>
        </w:tc>
        <w:tc>
          <w:tcPr>
            <w:tcW w:w="0" w:type="auto"/>
            <w:tcBorders>
              <w:top w:val="nil"/>
              <w:left w:val="nil"/>
              <w:bottom w:val="nil"/>
              <w:right w:val="nil"/>
            </w:tcBorders>
            <w:shd w:val="clear"/>
            <w:tcMar>
              <w:top w:w="120" w:type="dxa"/>
              <w:left w:w="120" w:type="dxa"/>
              <w:bottom w:w="120" w:type="dxa"/>
              <w:right w:w="120" w:type="dxa"/>
            </w:tcMar>
            <w:vAlign w:val="center"/>
          </w:tcPr>
          <w:p w14:paraId="18001592">
            <w:pPr>
              <w:keepNext w:val="0"/>
              <w:keepLines w:val="0"/>
              <w:widowControl/>
              <w:suppressLineNumbers w:val="0"/>
              <w:jc w:val="center"/>
              <w:rPr>
                <w:rFonts w:hint="default" w:ascii="Arial" w:hAnsi="Arial" w:cs="Arial"/>
                <w:caps w:val="0"/>
                <w:spacing w:val="0"/>
              </w:rPr>
            </w:pPr>
            <w:r>
              <w:rPr>
                <w:rFonts w:hint="default" w:ascii="Arial" w:hAnsi="Arial" w:eastAsia="宋体" w:cs="Arial"/>
                <w:caps w:val="0"/>
                <w:spacing w:val="0"/>
                <w:kern w:val="0"/>
                <w:sz w:val="24"/>
                <w:szCs w:val="24"/>
                <w:bdr w:val="none" w:color="auto" w:sz="0" w:space="0"/>
                <w:lang w:val="en-US" w:eastAsia="zh-CN" w:bidi="ar"/>
              </w:rPr>
              <w:t>40%±1%</w:t>
            </w:r>
          </w:p>
        </w:tc>
      </w:tr>
      <w:tr w14:paraId="3630E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4" w:hRule="exact"/>
          <w:jc w:val="center"/>
        </w:trPr>
        <w:tc>
          <w:tcPr>
            <w:tcW w:w="0" w:type="auto"/>
            <w:tcBorders>
              <w:top w:val="nil"/>
              <w:left w:val="nil"/>
              <w:bottom w:val="nil"/>
              <w:right w:val="nil"/>
            </w:tcBorders>
            <w:shd w:val="clear"/>
            <w:tcMar>
              <w:top w:w="120" w:type="dxa"/>
              <w:left w:w="120" w:type="dxa"/>
              <w:bottom w:w="120" w:type="dxa"/>
              <w:right w:w="120" w:type="dxa"/>
            </w:tcMar>
            <w:vAlign w:val="center"/>
          </w:tcPr>
          <w:p w14:paraId="7B983AEB">
            <w:pPr>
              <w:keepNext w:val="0"/>
              <w:keepLines w:val="0"/>
              <w:widowControl/>
              <w:suppressLineNumbers w:val="0"/>
              <w:jc w:val="center"/>
              <w:rPr>
                <w:rFonts w:hint="default" w:ascii="Arial" w:hAnsi="Arial" w:cs="Arial"/>
                <w:caps w:val="0"/>
                <w:spacing w:val="0"/>
              </w:rPr>
            </w:pPr>
            <w:r>
              <w:rPr>
                <w:rFonts w:hint="default" w:ascii="Arial" w:hAnsi="Arial" w:eastAsia="宋体" w:cs="Arial"/>
                <w:caps w:val="0"/>
                <w:spacing w:val="0"/>
                <w:kern w:val="0"/>
                <w:sz w:val="24"/>
                <w:szCs w:val="24"/>
                <w:bdr w:val="none" w:color="auto" w:sz="0" w:space="0"/>
                <w:lang w:val="en-US" w:eastAsia="zh-CN" w:bidi="ar"/>
              </w:rPr>
              <w:t>Colloid charge</w:t>
            </w:r>
          </w:p>
        </w:tc>
        <w:tc>
          <w:tcPr>
            <w:tcW w:w="0" w:type="auto"/>
            <w:tcBorders>
              <w:top w:val="nil"/>
              <w:left w:val="nil"/>
              <w:bottom w:val="nil"/>
              <w:right w:val="nil"/>
            </w:tcBorders>
            <w:shd w:val="clear"/>
            <w:tcMar>
              <w:top w:w="120" w:type="dxa"/>
              <w:left w:w="120" w:type="dxa"/>
              <w:bottom w:w="120" w:type="dxa"/>
              <w:right w:w="120" w:type="dxa"/>
            </w:tcMar>
            <w:vAlign w:val="center"/>
          </w:tcPr>
          <w:p w14:paraId="0EF126C4">
            <w:pPr>
              <w:keepNext w:val="0"/>
              <w:keepLines w:val="0"/>
              <w:widowControl/>
              <w:suppressLineNumbers w:val="0"/>
              <w:jc w:val="center"/>
              <w:rPr>
                <w:rFonts w:hint="default" w:ascii="Arial" w:hAnsi="Arial" w:cs="Arial"/>
                <w:caps w:val="0"/>
                <w:spacing w:val="0"/>
              </w:rPr>
            </w:pPr>
            <w:r>
              <w:rPr>
                <w:rFonts w:hint="default" w:ascii="Arial" w:hAnsi="Arial" w:eastAsia="宋体" w:cs="Arial"/>
                <w:caps w:val="0"/>
                <w:spacing w:val="0"/>
                <w:kern w:val="0"/>
                <w:sz w:val="24"/>
                <w:szCs w:val="24"/>
                <w:bdr w:val="none" w:color="auto" w:sz="0" w:space="0"/>
                <w:lang w:val="en-US" w:eastAsia="zh-CN" w:bidi="ar"/>
              </w:rPr>
              <w:t>Non-ionic</w:t>
            </w:r>
          </w:p>
        </w:tc>
      </w:tr>
      <w:tr w14:paraId="249B3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454" w:hRule="exact"/>
          <w:jc w:val="center"/>
        </w:trPr>
        <w:tc>
          <w:tcPr>
            <w:tcW w:w="0" w:type="auto"/>
            <w:tcBorders>
              <w:top w:val="nil"/>
              <w:left w:val="nil"/>
              <w:bottom w:val="nil"/>
              <w:right w:val="nil"/>
            </w:tcBorders>
            <w:shd w:val="clear"/>
            <w:tcMar>
              <w:top w:w="120" w:type="dxa"/>
              <w:left w:w="120" w:type="dxa"/>
              <w:bottom w:w="120" w:type="dxa"/>
              <w:right w:w="120" w:type="dxa"/>
            </w:tcMar>
            <w:vAlign w:val="center"/>
          </w:tcPr>
          <w:p w14:paraId="0DC63318">
            <w:pPr>
              <w:keepNext w:val="0"/>
              <w:keepLines w:val="0"/>
              <w:widowControl/>
              <w:suppressLineNumbers w:val="0"/>
              <w:jc w:val="center"/>
              <w:rPr>
                <w:rFonts w:hint="default" w:ascii="Arial" w:hAnsi="Arial" w:cs="Arial"/>
                <w:caps w:val="0"/>
                <w:spacing w:val="0"/>
              </w:rPr>
            </w:pPr>
            <w:r>
              <w:rPr>
                <w:rFonts w:hint="default" w:ascii="Arial" w:hAnsi="Arial" w:eastAsia="宋体" w:cs="Arial"/>
                <w:caps w:val="0"/>
                <w:spacing w:val="0"/>
                <w:kern w:val="0"/>
                <w:sz w:val="24"/>
                <w:szCs w:val="24"/>
                <w:bdr w:val="none" w:color="auto" w:sz="0" w:space="0"/>
                <w:lang w:val="en-US" w:eastAsia="zh-CN" w:bidi="ar"/>
              </w:rPr>
              <w:t>Viscosity</w:t>
            </w:r>
          </w:p>
        </w:tc>
        <w:tc>
          <w:tcPr>
            <w:tcW w:w="0" w:type="auto"/>
            <w:tcBorders>
              <w:top w:val="nil"/>
              <w:left w:val="nil"/>
              <w:bottom w:val="nil"/>
              <w:right w:val="nil"/>
            </w:tcBorders>
            <w:shd w:val="clear"/>
            <w:tcMar>
              <w:top w:w="120" w:type="dxa"/>
              <w:left w:w="120" w:type="dxa"/>
              <w:bottom w:w="120" w:type="dxa"/>
              <w:right w:w="120" w:type="dxa"/>
            </w:tcMar>
            <w:vAlign w:val="center"/>
          </w:tcPr>
          <w:p w14:paraId="05CFC2B4">
            <w:pPr>
              <w:keepNext w:val="0"/>
              <w:keepLines w:val="0"/>
              <w:widowControl/>
              <w:suppressLineNumbers w:val="0"/>
              <w:jc w:val="center"/>
              <w:rPr>
                <w:rFonts w:hint="default" w:ascii="Arial" w:hAnsi="Arial" w:cs="Arial"/>
                <w:caps w:val="0"/>
                <w:spacing w:val="0"/>
              </w:rPr>
            </w:pPr>
            <w:r>
              <w:rPr>
                <w:rFonts w:hint="default" w:ascii="Arial" w:hAnsi="Arial" w:eastAsia="宋体" w:cs="Arial"/>
                <w:caps w:val="0"/>
                <w:spacing w:val="0"/>
                <w:kern w:val="0"/>
                <w:sz w:val="24"/>
                <w:szCs w:val="24"/>
                <w:bdr w:val="none" w:color="auto" w:sz="0" w:space="0"/>
                <w:lang w:val="en-US" w:eastAsia="zh-CN" w:bidi="ar"/>
              </w:rPr>
              <w:t>800-1200 mPa·s (25℃)</w:t>
            </w:r>
          </w:p>
        </w:tc>
      </w:tr>
      <w:tr w14:paraId="38FEAF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454" w:hRule="exact"/>
          <w:jc w:val="center"/>
        </w:trPr>
        <w:tc>
          <w:tcPr>
            <w:tcW w:w="0" w:type="auto"/>
            <w:tcBorders>
              <w:top w:val="nil"/>
              <w:left w:val="nil"/>
              <w:bottom w:val="single" w:color="000000" w:themeColor="text1" w:sz="8" w:space="0"/>
              <w:right w:val="nil"/>
            </w:tcBorders>
            <w:shd w:val="clear"/>
            <w:tcMar>
              <w:top w:w="120" w:type="dxa"/>
              <w:left w:w="120" w:type="dxa"/>
              <w:bottom w:w="120" w:type="dxa"/>
              <w:right w:w="120" w:type="dxa"/>
            </w:tcMar>
            <w:vAlign w:val="center"/>
          </w:tcPr>
          <w:p w14:paraId="37CED1C7">
            <w:pPr>
              <w:keepNext w:val="0"/>
              <w:keepLines w:val="0"/>
              <w:widowControl/>
              <w:suppressLineNumbers w:val="0"/>
              <w:jc w:val="center"/>
              <w:rPr>
                <w:rFonts w:hint="default" w:ascii="Arial" w:hAnsi="Arial" w:cs="Arial"/>
                <w:caps w:val="0"/>
                <w:spacing w:val="0"/>
              </w:rPr>
            </w:pPr>
            <w:r>
              <w:rPr>
                <w:rFonts w:hint="default" w:ascii="Arial" w:hAnsi="Arial" w:eastAsia="宋体" w:cs="Arial"/>
                <w:caps w:val="0"/>
                <w:spacing w:val="0"/>
                <w:kern w:val="0"/>
                <w:sz w:val="24"/>
                <w:szCs w:val="24"/>
                <w:bdr w:val="none" w:color="auto" w:sz="0" w:space="0"/>
                <w:lang w:val="en-US" w:eastAsia="zh-CN" w:bidi="ar"/>
              </w:rPr>
              <w:t>Specific gravity</w:t>
            </w:r>
          </w:p>
        </w:tc>
        <w:tc>
          <w:tcPr>
            <w:tcW w:w="0" w:type="auto"/>
            <w:tcBorders>
              <w:top w:val="nil"/>
              <w:left w:val="nil"/>
              <w:bottom w:val="single" w:color="000000" w:themeColor="text1" w:sz="8" w:space="0"/>
              <w:right w:val="nil"/>
            </w:tcBorders>
            <w:shd w:val="clear"/>
            <w:tcMar>
              <w:top w:w="120" w:type="dxa"/>
              <w:left w:w="120" w:type="dxa"/>
              <w:bottom w:w="120" w:type="dxa"/>
              <w:right w:w="120" w:type="dxa"/>
            </w:tcMar>
            <w:vAlign w:val="center"/>
          </w:tcPr>
          <w:p w14:paraId="0A4CAA8E">
            <w:pPr>
              <w:keepNext w:val="0"/>
              <w:keepLines w:val="0"/>
              <w:widowControl/>
              <w:suppressLineNumbers w:val="0"/>
              <w:jc w:val="center"/>
              <w:rPr>
                <w:rFonts w:hint="default" w:ascii="Arial" w:hAnsi="Arial" w:cs="Arial"/>
                <w:caps w:val="0"/>
                <w:spacing w:val="0"/>
              </w:rPr>
            </w:pPr>
            <w:r>
              <w:rPr>
                <w:rFonts w:hint="default" w:ascii="Arial" w:hAnsi="Arial" w:eastAsia="宋体" w:cs="Arial"/>
                <w:caps w:val="0"/>
                <w:spacing w:val="0"/>
                <w:kern w:val="0"/>
                <w:sz w:val="24"/>
                <w:szCs w:val="24"/>
                <w:bdr w:val="none" w:color="auto" w:sz="0" w:space="0"/>
                <w:lang w:val="en-US" w:eastAsia="zh-CN" w:bidi="ar"/>
              </w:rPr>
              <w:t>1.02-1.06 g/cm³</w:t>
            </w:r>
          </w:p>
        </w:tc>
      </w:tr>
    </w:tbl>
    <w:p w14:paraId="6D5C3A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cs="Arial"/>
          <w:color w:val="000000"/>
          <w:sz w:val="24"/>
          <w:szCs w:val="24"/>
        </w:rPr>
      </w:pPr>
      <w:r>
        <w:rPr>
          <w:rFonts w:hint="default" w:ascii="Arial" w:hAnsi="Arial" w:eastAsia="宋体" w:cs="Arial"/>
          <w:color w:val="000000"/>
          <w:kern w:val="0"/>
          <w:sz w:val="24"/>
          <w:szCs w:val="24"/>
          <w:lang w:val="en-US" w:eastAsia="zh-CN" w:bidi="ar"/>
        </w:rPr>
        <w:t>*The above parameters represent typical results only and shall not be regarded as specifications. Refer to the actual COA for details.</w:t>
      </w:r>
    </w:p>
    <w:p w14:paraId="354AEAA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Application Scope</w:t>
      </w:r>
    </w:p>
    <w:p w14:paraId="284FF5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cs="Arial"/>
          <w:color w:val="000000"/>
          <w:sz w:val="24"/>
          <w:szCs w:val="24"/>
        </w:rPr>
      </w:pPr>
      <w:r>
        <w:rPr>
          <w:rFonts w:hint="default" w:ascii="Arial" w:hAnsi="Arial" w:eastAsia="宋体" w:cs="Arial"/>
          <w:color w:val="000000"/>
          <w:kern w:val="0"/>
          <w:sz w:val="24"/>
          <w:szCs w:val="24"/>
          <w:lang w:val="en-US" w:eastAsia="zh-CN" w:bidi="ar"/>
        </w:rPr>
        <w:t>Water-based coatings, water-based adhesives, water-based inks, textile coatings, leather finishing and other fields</w:t>
      </w:r>
    </w:p>
    <w:p w14:paraId="64440BC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Product Features</w:t>
      </w:r>
    </w:p>
    <w:p w14:paraId="6D51AB7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eastAsia" w:ascii="Arial" w:hAnsi="Arial" w:cs="Arial"/>
          <w:color w:val="000000"/>
          <w:sz w:val="24"/>
          <w:szCs w:val="24"/>
          <w:lang w:val="en-US" w:eastAsia="zh-CN"/>
        </w:rPr>
        <w:t>1.</w:t>
      </w:r>
      <w:r>
        <w:rPr>
          <w:rFonts w:hint="default" w:ascii="Arial" w:hAnsi="Arial" w:cs="Arial"/>
          <w:color w:val="000000"/>
          <w:sz w:val="24"/>
          <w:szCs w:val="24"/>
        </w:rPr>
        <w:t>High shear thickener</w:t>
      </w:r>
    </w:p>
    <w:p w14:paraId="424E9A0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eastAsia" w:ascii="Arial" w:hAnsi="Arial" w:cs="Arial"/>
          <w:color w:val="000000"/>
          <w:sz w:val="24"/>
          <w:szCs w:val="24"/>
          <w:lang w:val="en-US" w:eastAsia="zh-CN"/>
        </w:rPr>
        <w:t>2.</w:t>
      </w:r>
      <w:r>
        <w:rPr>
          <w:rFonts w:hint="default" w:ascii="Arial" w:hAnsi="Arial" w:cs="Arial"/>
          <w:color w:val="000000"/>
          <w:sz w:val="24"/>
          <w:szCs w:val="24"/>
        </w:rPr>
        <w:t>Excellent anti-splashing property, fluidity and leveling property</w:t>
      </w:r>
    </w:p>
    <w:p w14:paraId="76884AFE">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eastAsia" w:ascii="Arial" w:hAnsi="Arial" w:cs="Arial"/>
          <w:color w:val="000000"/>
          <w:sz w:val="24"/>
          <w:szCs w:val="24"/>
          <w:lang w:val="en-US" w:eastAsia="zh-CN"/>
        </w:rPr>
        <w:t>3.</w:t>
      </w:r>
      <w:r>
        <w:rPr>
          <w:rFonts w:hint="default" w:ascii="Arial" w:hAnsi="Arial" w:cs="Arial"/>
          <w:color w:val="000000"/>
          <w:sz w:val="24"/>
          <w:szCs w:val="24"/>
        </w:rPr>
        <w:t>Free of organotin, APEO and other toxic substances</w:t>
      </w:r>
    </w:p>
    <w:p w14:paraId="1AAD9A2E">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eastAsia" w:ascii="Arial" w:hAnsi="Arial" w:cs="Arial"/>
          <w:color w:val="000000"/>
          <w:sz w:val="24"/>
          <w:szCs w:val="24"/>
          <w:lang w:val="en-US" w:eastAsia="zh-CN"/>
        </w:rPr>
        <w:t>4.</w:t>
      </w:r>
      <w:r>
        <w:rPr>
          <w:rFonts w:hint="default" w:ascii="Arial" w:hAnsi="Arial" w:cs="Arial"/>
          <w:color w:val="000000"/>
          <w:sz w:val="24"/>
          <w:szCs w:val="24"/>
        </w:rPr>
        <w:t>Good dispersibility, which assists in the wetting and dispersion of pigments in the formulation</w:t>
      </w:r>
    </w:p>
    <w:p w14:paraId="0682829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eastAsia" w:ascii="Arial" w:hAnsi="Arial" w:cs="Arial"/>
          <w:color w:val="000000"/>
          <w:sz w:val="24"/>
          <w:szCs w:val="24"/>
          <w:lang w:val="en-US" w:eastAsia="zh-CN"/>
        </w:rPr>
        <w:t>5.</w:t>
      </w:r>
      <w:r>
        <w:rPr>
          <w:rFonts w:hint="default" w:ascii="Arial" w:hAnsi="Arial" w:cs="Arial"/>
          <w:color w:val="000000"/>
          <w:sz w:val="24"/>
          <w:szCs w:val="24"/>
        </w:rPr>
        <w:t>N</w:t>
      </w:r>
      <w:r>
        <w:rPr>
          <w:rFonts w:hint="default" w:ascii="Arial" w:hAnsi="Arial" w:cs="Arial"/>
          <w:color w:val="000000"/>
          <w:sz w:val="24"/>
          <w:szCs w:val="24"/>
        </w:rPr>
        <w:t>on-ionic nature, with performance unaffected by the pH value of the system</w:t>
      </w:r>
    </w:p>
    <w:p w14:paraId="4D44F13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eastAsia" w:ascii="Arial" w:hAnsi="Arial" w:cs="Arial"/>
          <w:color w:val="000000"/>
          <w:sz w:val="24"/>
          <w:szCs w:val="24"/>
          <w:lang w:val="en-US" w:eastAsia="zh-CN"/>
        </w:rPr>
        <w:t>6.</w:t>
      </w:r>
      <w:r>
        <w:rPr>
          <w:rFonts w:hint="default" w:ascii="Arial" w:hAnsi="Arial" w:cs="Arial"/>
          <w:color w:val="000000"/>
          <w:sz w:val="24"/>
          <w:szCs w:val="24"/>
        </w:rPr>
        <w:t>No ad</w:t>
      </w:r>
      <w:r>
        <w:rPr>
          <w:rFonts w:hint="default" w:ascii="Arial" w:hAnsi="Arial" w:cs="Arial"/>
          <w:color w:val="000000"/>
          <w:sz w:val="24"/>
          <w:szCs w:val="24"/>
        </w:rPr>
        <w:t>verse effect on the gloss of formulated products</w:t>
      </w:r>
    </w:p>
    <w:p w14:paraId="5DDE759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Dosage and Application Method</w:t>
      </w:r>
    </w:p>
    <w:p w14:paraId="654FFAE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eastAsia" w:ascii="Arial" w:hAnsi="Arial" w:cs="Arial"/>
          <w:color w:val="000000"/>
          <w:sz w:val="24"/>
          <w:szCs w:val="24"/>
          <w:lang w:val="en-US" w:eastAsia="zh-CN"/>
        </w:rPr>
        <w:t>1.</w:t>
      </w:r>
      <w:r>
        <w:rPr>
          <w:rFonts w:hint="default" w:ascii="Arial" w:hAnsi="Arial" w:cs="Arial"/>
          <w:color w:val="000000"/>
          <w:sz w:val="24"/>
          <w:szCs w:val="24"/>
        </w:rPr>
        <w:t>Dosage: 0.2-2.0% relative to the total formulation. Conduct tests to determine the optimal dosage according to the system components and required fluidity before addition.</w:t>
      </w:r>
    </w:p>
    <w:p w14:paraId="52358B9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eastAsia" w:ascii="Arial" w:hAnsi="Arial" w:cs="Arial"/>
          <w:color w:val="000000"/>
          <w:sz w:val="24"/>
          <w:szCs w:val="24"/>
          <w:lang w:val="en-US" w:eastAsia="zh-CN"/>
        </w:rPr>
        <w:t>2.</w:t>
      </w:r>
      <w:r>
        <w:rPr>
          <w:rFonts w:hint="default" w:ascii="Arial" w:hAnsi="Arial" w:cs="Arial"/>
          <w:color w:val="000000"/>
          <w:sz w:val="24"/>
          <w:szCs w:val="24"/>
        </w:rPr>
        <w:t>It can be added either before or after grinding. It is recommended to add a portion in the early stage and the rest in the later stage.</w:t>
      </w:r>
    </w:p>
    <w:p w14:paraId="7F6A533B">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cs="Arial"/>
          <w:color w:val="000000"/>
          <w:sz w:val="28"/>
          <w:szCs w:val="28"/>
        </w:rPr>
      </w:pPr>
      <w:r>
        <w:rPr>
          <w:rFonts w:hint="eastAsia" w:ascii="Arial" w:hAnsi="Arial" w:cs="Arial"/>
          <w:color w:val="000000"/>
          <w:sz w:val="24"/>
          <w:szCs w:val="24"/>
          <w:lang w:val="en-US" w:eastAsia="zh-CN"/>
        </w:rPr>
        <w:t>3.</w:t>
      </w:r>
      <w:r>
        <w:rPr>
          <w:rFonts w:hint="default" w:ascii="Arial" w:hAnsi="Arial" w:cs="Arial"/>
          <w:color w:val="000000"/>
          <w:sz w:val="24"/>
          <w:szCs w:val="24"/>
        </w:rPr>
        <w:t>No pre-dilution is required for use due to good dispersibility; if dilution is needed, water-based solvents can be used for dilution.</w:t>
      </w:r>
    </w:p>
    <w:p w14:paraId="4576894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Notes</w:t>
      </w:r>
    </w:p>
    <w:p w14:paraId="4516EDD6">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eastAsia" w:ascii="Arial" w:hAnsi="Arial" w:cs="Arial"/>
          <w:color w:val="000000"/>
          <w:sz w:val="24"/>
          <w:szCs w:val="24"/>
          <w:lang w:val="en-US" w:eastAsia="zh-CN"/>
        </w:rPr>
        <w:t>1.</w:t>
      </w:r>
      <w:r>
        <w:rPr>
          <w:rFonts w:hint="default" w:ascii="Arial" w:hAnsi="Arial" w:cs="Arial"/>
          <w:color w:val="000000"/>
          <w:sz w:val="24"/>
          <w:szCs w:val="24"/>
        </w:rPr>
        <w:t>Associative thickening is affected by temperature: the viscosity is higher at low temperatures and lower at high temperatures. Temperature conditions should be taken into account when designing the formulation.</w:t>
      </w:r>
    </w:p>
    <w:p w14:paraId="518A239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eastAsia" w:ascii="Arial" w:hAnsi="Arial" w:cs="Arial"/>
          <w:color w:val="000000"/>
          <w:sz w:val="24"/>
          <w:szCs w:val="24"/>
          <w:lang w:val="en-US" w:eastAsia="zh-CN"/>
        </w:rPr>
        <w:t>2.</w:t>
      </w:r>
      <w:r>
        <w:rPr>
          <w:rFonts w:hint="default" w:ascii="Arial" w:hAnsi="Arial" w:cs="Arial"/>
          <w:color w:val="000000"/>
          <w:sz w:val="24"/>
          <w:szCs w:val="24"/>
        </w:rPr>
        <w:t>Re-test shall be conducted when the batch of thickened raw materials is changed to confirm the dosage of the thickener.</w:t>
      </w:r>
    </w:p>
    <w:p w14:paraId="1C726AFB">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eastAsia" w:ascii="Arial" w:hAnsi="Arial" w:cs="Arial"/>
          <w:color w:val="000000"/>
          <w:sz w:val="24"/>
          <w:szCs w:val="24"/>
          <w:lang w:val="en-US" w:eastAsia="zh-CN"/>
        </w:rPr>
        <w:t>3.</w:t>
      </w:r>
      <w:r>
        <w:rPr>
          <w:rFonts w:hint="default" w:ascii="Arial" w:hAnsi="Arial" w:cs="Arial"/>
          <w:color w:val="000000"/>
          <w:sz w:val="24"/>
          <w:szCs w:val="24"/>
        </w:rPr>
        <w:t>This product may crystallize at low temperatures, and crystallization does not affect product performance. If crystallization occurs, heat the product to melt the crystals before use.</w:t>
      </w:r>
    </w:p>
    <w:p w14:paraId="35027C5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Storage and Shelf Life</w:t>
      </w:r>
    </w:p>
    <w:p w14:paraId="2F5E920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eastAsia" w:ascii="Arial" w:hAnsi="Arial" w:cs="Arial"/>
          <w:color w:val="000000"/>
          <w:sz w:val="24"/>
          <w:szCs w:val="24"/>
          <w:lang w:val="en-US" w:eastAsia="zh-CN"/>
        </w:rPr>
        <w:t>1.</w:t>
      </w:r>
      <w:r>
        <w:rPr>
          <w:rFonts w:hint="default" w:ascii="Arial" w:hAnsi="Arial" w:cs="Arial"/>
          <w:color w:val="000000"/>
          <w:sz w:val="24"/>
          <w:szCs w:val="24"/>
        </w:rPr>
        <w:t>Store in the original sealed container</w:t>
      </w:r>
    </w:p>
    <w:p w14:paraId="645D62C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eastAsia" w:ascii="Arial" w:hAnsi="Arial" w:cs="Arial"/>
          <w:color w:val="000000"/>
          <w:sz w:val="24"/>
          <w:szCs w:val="24"/>
          <w:lang w:val="en-US" w:eastAsia="zh-CN"/>
        </w:rPr>
        <w:t>2.</w:t>
      </w:r>
      <w:r>
        <w:rPr>
          <w:rFonts w:hint="default" w:ascii="Arial" w:hAnsi="Arial" w:cs="Arial"/>
          <w:color w:val="000000"/>
          <w:sz w:val="24"/>
          <w:szCs w:val="24"/>
        </w:rPr>
        <w:t>Recommended storage temperature: 6-28℃</w:t>
      </w:r>
    </w:p>
    <w:p w14:paraId="00DBAD1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eastAsia" w:ascii="Arial" w:hAnsi="Arial" w:cs="Arial"/>
          <w:color w:val="000000"/>
          <w:sz w:val="24"/>
          <w:szCs w:val="24"/>
          <w:lang w:val="en-US" w:eastAsia="zh-CN"/>
        </w:rPr>
        <w:t>3.</w:t>
      </w:r>
      <w:r>
        <w:rPr>
          <w:rFonts w:hint="default" w:ascii="Arial" w:hAnsi="Arial" w:cs="Arial"/>
          <w:color w:val="000000"/>
          <w:sz w:val="24"/>
          <w:szCs w:val="24"/>
        </w:rPr>
        <w:t>Must be used up within 12 months from the date of production</w:t>
      </w:r>
    </w:p>
    <w:p w14:paraId="5FDC762A">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eastAsia" w:ascii="Arial" w:hAnsi="Arial" w:cs="Arial"/>
          <w:color w:val="000000"/>
          <w:sz w:val="24"/>
          <w:szCs w:val="24"/>
          <w:lang w:val="en-US" w:eastAsia="zh-CN"/>
        </w:rPr>
        <w:t>4.</w:t>
      </w:r>
      <w:r>
        <w:rPr>
          <w:rFonts w:hint="default" w:ascii="Arial" w:hAnsi="Arial" w:cs="Arial"/>
          <w:color w:val="000000"/>
          <w:sz w:val="24"/>
          <w:szCs w:val="24"/>
        </w:rPr>
        <w:t>Avoid direct sunlight and contamination by other substances</w:t>
      </w:r>
    </w:p>
    <w:p w14:paraId="55A12F0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Packaging</w:t>
      </w:r>
    </w:p>
    <w:p w14:paraId="702D4D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eastAsia="微软雅黑" w:cs="Arial"/>
          <w:spacing w:val="-4"/>
          <w:sz w:val="24"/>
          <w:szCs w:val="24"/>
        </w:rPr>
      </w:pPr>
      <w:r>
        <w:rPr>
          <w:rFonts w:hint="default" w:ascii="Arial" w:hAnsi="Arial" w:eastAsia="宋体" w:cs="Arial"/>
          <w:color w:val="000000"/>
          <w:kern w:val="0"/>
          <w:sz w:val="24"/>
          <w:szCs w:val="24"/>
          <w:lang w:val="en-US" w:eastAsia="zh-CN" w:bidi="ar"/>
        </w:rPr>
        <w:t>Available in 50kg, 125kg and IBC ton drum packaging; customized packaging can be provided according to customer requirements.</w:t>
      </w:r>
    </w:p>
    <w:p w14:paraId="3221C44B">
      <w:pPr>
        <w:tabs>
          <w:tab w:val="left" w:pos="720"/>
          <w:tab w:val="left" w:pos="1980"/>
        </w:tabs>
        <w:spacing w:line="360" w:lineRule="auto"/>
        <w:rPr>
          <w:rFonts w:hint="default" w:ascii="Arial" w:hAnsi="Arial" w:eastAsia="微软雅黑" w:cs="Arial"/>
          <w:spacing w:val="-4"/>
          <w:sz w:val="24"/>
          <w:szCs w:val="24"/>
        </w:rPr>
      </w:pPr>
    </w:p>
    <w:p w14:paraId="79A20F4B">
      <w:pPr>
        <w:tabs>
          <w:tab w:val="left" w:pos="720"/>
          <w:tab w:val="left" w:pos="1980"/>
        </w:tabs>
        <w:spacing w:line="360" w:lineRule="auto"/>
        <w:ind w:firstLine="464" w:firstLineChars="200"/>
        <w:rPr>
          <w:rFonts w:hint="default" w:ascii="Arial" w:hAnsi="Arial" w:eastAsia="微软雅黑" w:cs="Arial"/>
          <w:spacing w:val="-4"/>
          <w:sz w:val="24"/>
          <w:szCs w:val="24"/>
        </w:rPr>
      </w:pPr>
    </w:p>
    <w:tbl>
      <w:tblPr>
        <w:tblStyle w:val="8"/>
        <w:tblpPr w:leftFromText="180" w:rightFromText="180" w:vertAnchor="page" w:horzAnchor="page" w:tblpX="1463" w:tblpY="1331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8"/>
      </w:tblGrid>
      <w:tr w14:paraId="25241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288" w:type="dxa"/>
            <w:tcBorders>
              <w:left w:val="nil"/>
              <w:bottom w:val="nil"/>
              <w:right w:val="nil"/>
            </w:tcBorders>
          </w:tcPr>
          <w:p w14:paraId="5D517BEE">
            <w:pPr>
              <w:ind w:firstLine="480" w:firstLineChars="200"/>
              <w:rPr>
                <w:rFonts w:hint="default" w:ascii="Arial" w:hAnsi="Arial" w:eastAsia="微软雅黑" w:cs="Arial"/>
                <w:b/>
                <w:bCs/>
                <w:sz w:val="24"/>
              </w:rPr>
            </w:pPr>
            <w:r>
              <w:rPr>
                <w:rFonts w:hint="default" w:ascii="Arial" w:hAnsi="Arial" w:cs="Arial"/>
                <w:color w:val="000000"/>
                <w:sz w:val="24"/>
                <w:szCs w:val="24"/>
              </w:rPr>
              <w:t>The above information only represents our laboratory quality evaluation results and does not guarantee the product’s performance or suitability for specific applications. Please conduct necessary tests before use. Thank you for your choice and support!</w:t>
            </w:r>
          </w:p>
        </w:tc>
      </w:tr>
    </w:tbl>
    <w:p w14:paraId="66692656">
      <w:pPr>
        <w:pStyle w:val="10"/>
        <w:rPr>
          <w:rFonts w:hint="default" w:ascii="Arial" w:hAnsi="Arial" w:eastAsia="微软雅黑" w:cs="Arial"/>
          <w:b/>
          <w:bCs/>
        </w:rPr>
      </w:pPr>
    </w:p>
    <w:sectPr>
      <w:headerReference r:id="rId3" w:type="default"/>
      <w:footerReference r:id="rId4" w:type="default"/>
      <w:type w:val="continuous"/>
      <w:pgSz w:w="11906" w:h="16838"/>
      <w:pgMar w:top="850" w:right="1417" w:bottom="850" w:left="1417" w:header="851" w:footer="992" w:gutter="0"/>
      <w:pgBorders>
        <w:top w:val="none" w:sz="0" w:space="0"/>
        <w:left w:val="none" w:sz="0" w:space="0"/>
        <w:bottom w:val="none" w:sz="0" w:space="0"/>
        <w:right w:val="none" w:sz="0" w:space="0"/>
      </w:pgBorders>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宋体">
    <w:altName w:val="宋体"/>
    <w:panose1 w:val="02010600040101010101"/>
    <w:charset w:val="86"/>
    <w:family w:val="auto"/>
    <w:pitch w:val="default"/>
    <w:sig w:usb0="00000000" w:usb1="00000000" w:usb2="00000010" w:usb3="00000000" w:csb0="0004009F" w:csb1="00000000"/>
  </w:font>
  <w:font w:name="微软雅黑">
    <w:panose1 w:val="020B0503020204020204"/>
    <w:charset w:val="86"/>
    <w:family w:val="swiss"/>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851DE5">
    <w:pPr>
      <w:tabs>
        <w:tab w:val="center" w:pos="4536"/>
        <w:tab w:val="right" w:pos="9072"/>
      </w:tabs>
      <w:jc w:val="left"/>
      <w:rPr>
        <w:rFonts w:hint="eastAsia" w:ascii="微软雅黑" w:hAnsi="微软雅黑" w:eastAsia="微软雅黑" w:cs="微软雅黑"/>
        <w:szCs w:val="21"/>
      </w:rPr>
    </w:pPr>
    <w:r>
      <mc:AlternateContent>
        <mc:Choice Requires="wps">
          <w:drawing>
            <wp:anchor distT="0" distB="0" distL="114300" distR="114300" simplePos="0" relativeHeight="251661312" behindDoc="0" locked="0" layoutInCell="1" allowOverlap="1">
              <wp:simplePos x="0" y="0"/>
              <wp:positionH relativeFrom="margin">
                <wp:posOffset>2455545</wp:posOffset>
              </wp:positionH>
              <wp:positionV relativeFrom="paragraph">
                <wp:posOffset>274955</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EB5099">
                          <w:pPr>
                            <w:pStyle w:val="5"/>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193.35pt;margin-top:21.65pt;height:144pt;width:144pt;mso-position-horizontal-relative:margin;mso-wrap-style:none;z-index:251661312;mso-width-relative:page;mso-height-relative:page;" filled="f" stroked="f" coordsize="21600,21600" o:gfxdata="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QANpftYAAAAKAQAADwAAAAAAAAABACAAAAAiAAAAZHJzL2Rvd25yZXYueG1sUEsBAhQAFAAA&#10;AAgAh07iQMrd1wwqAgAAVwQAAA4AAAAAAAAAAQAgAAAAJQEAAGRycy9lMm9Eb2MueG1sUEsFBgAA&#10;AAAGAAYAWQEAAMEFAAAAAA==&#10;">
              <v:fill on="f" focussize="0,0"/>
              <v:stroke on="f" weight="0.5pt"/>
              <v:imagedata o:title=""/>
              <o:lock v:ext="edit" aspectratio="f"/>
              <v:textbox inset="0mm,0mm,0mm,0mm" style="mso-fit-shape-to-text:t;">
                <w:txbxContent>
                  <w:p w14:paraId="36EB5099">
                    <w:pPr>
                      <w:pStyle w:val="5"/>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868664">
    <w:pPr>
      <w:pStyle w:val="6"/>
      <w:rPr>
        <w:sz w:val="10"/>
        <w:szCs w:val="10"/>
      </w:rPr>
    </w:pPr>
    <w:r>
      <w:rPr>
        <w:sz w:val="10"/>
      </w:rPr>
      <mc:AlternateContent>
        <mc:Choice Requires="wps">
          <w:drawing>
            <wp:anchor distT="0" distB="0" distL="114300" distR="114300" simplePos="0" relativeHeight="251660288" behindDoc="0" locked="0" layoutInCell="1" allowOverlap="1">
              <wp:simplePos x="0" y="0"/>
              <wp:positionH relativeFrom="margin">
                <wp:posOffset>3625215</wp:posOffset>
              </wp:positionH>
              <wp:positionV relativeFrom="paragraph">
                <wp:posOffset>561975</wp:posOffset>
              </wp:positionV>
              <wp:extent cx="1828800" cy="414655"/>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4146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CA8084">
                          <w:pPr>
                            <w:jc w:val="center"/>
                            <w:rPr>
                              <w:rFonts w:hint="eastAsia"/>
                            </w:rPr>
                          </w:pPr>
                          <w:r>
                            <w:rPr>
                              <w:rFonts w:hint="default" w:eastAsia="微软雅黑"/>
                              <w:b/>
                              <w:bCs/>
                              <w:color w:val="00A2E9"/>
                              <w:sz w:val="28"/>
                              <w:szCs w:val="28"/>
                              <w14:shadow w14:blurRad="38100" w14:dist="19050" w14:dir="2700000" w14:sx="100000" w14:sy="100000" w14:kx="0" w14:ky="0" w14:algn="tl">
                                <w14:schemeClr w14:val="dk1">
                                  <w14:alpha w14:val="60000"/>
                                </w14:schemeClr>
                              </w14:shadow>
                              <w14:props3d w14:extrusionH="0" w14:contourW="0" w14:prstMaterial="clear"/>
                            </w:rPr>
                            <w:t>Polyurethane Rheology Additive</w:t>
                          </w:r>
                        </w:p>
                      </w:txbxContent>
                    </wps:txbx>
                    <wps:bodyPr rot="0" spcFirstLastPara="0" vertOverflow="overflow" horzOverflow="overflow" vert="horz" wrap="non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5.45pt;margin-top:44.25pt;height:32.65pt;width:144pt;mso-position-horizontal-relative:margin;mso-wrap-style:none;z-index:251660288;mso-width-relative:page;mso-height-relative:page;" filled="f" stroked="f" coordsize="21600,21600" o:gfxdata="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KWJ9sdsAAAAKAQAADwAAAAAAAAABACAAAAAiAAAAZHJz&#10;L2Rvd25yZXYueG1sUEsBAhQAFAAAAAgAh07iQIE4rwU6AgAAZAQAAA4AAAAAAAAAAQAgAAAAKgEA&#10;AGRycy9lMm9Eb2MueG1sUEsFBgAAAAAGAAYAWQEAANYFAAAAAA==&#10;">
              <v:fill on="f" focussize="0,0"/>
              <v:stroke on="f" weight="0.5pt"/>
              <v:imagedata o:title=""/>
              <o:lock v:ext="edit" aspectratio="f"/>
              <v:textbox>
                <w:txbxContent>
                  <w:p w14:paraId="5CCA8084">
                    <w:pPr>
                      <w:jc w:val="center"/>
                      <w:rPr>
                        <w:rFonts w:hint="eastAsia"/>
                      </w:rPr>
                    </w:pPr>
                    <w:r>
                      <w:rPr>
                        <w:rFonts w:hint="default" w:eastAsia="微软雅黑"/>
                        <w:b/>
                        <w:bCs/>
                        <w:color w:val="00A2E9"/>
                        <w:sz w:val="28"/>
                        <w:szCs w:val="28"/>
                        <w14:shadow w14:blurRad="38100" w14:dist="19050" w14:dir="2700000" w14:sx="100000" w14:sy="100000" w14:kx="0" w14:ky="0" w14:algn="tl">
                          <w14:schemeClr w14:val="dk1">
                            <w14:alpha w14:val="60000"/>
                          </w14:schemeClr>
                        </w14:shadow>
                        <w14:props3d w14:extrusionH="0" w14:contourW="0" w14:prstMaterial="clear"/>
                      </w:rPr>
                      <w:t>Polyurethane Rheology Additive</w:t>
                    </w:r>
                  </w:p>
                </w:txbxContent>
              </v:textbox>
            </v:shape>
          </w:pict>
        </mc:Fallback>
      </mc:AlternateContent>
    </w:r>
    <w:r>
      <w:rPr>
        <w:sz w:val="10"/>
      </w:rPr>
      <mc:AlternateContent>
        <mc:Choice Requires="wps">
          <w:drawing>
            <wp:anchor distT="0" distB="0" distL="114300" distR="114300" simplePos="0" relativeHeight="251659264" behindDoc="0" locked="0" layoutInCell="1" allowOverlap="1">
              <wp:simplePos x="0" y="0"/>
              <wp:positionH relativeFrom="margin">
                <wp:posOffset>4121150</wp:posOffset>
              </wp:positionH>
              <wp:positionV relativeFrom="paragraph">
                <wp:posOffset>86360</wp:posOffset>
              </wp:positionV>
              <wp:extent cx="2125345" cy="447675"/>
              <wp:effectExtent l="0" t="0" r="0" b="0"/>
              <wp:wrapNone/>
              <wp:docPr id="3" name="文本框 3"/>
              <wp:cNvGraphicFramePr/>
              <a:graphic xmlns:a="http://schemas.openxmlformats.org/drawingml/2006/main">
                <a:graphicData uri="http://schemas.microsoft.com/office/word/2010/wordprocessingShape">
                  <wps:wsp>
                    <wps:cNvSpPr txBox="1"/>
                    <wps:spPr>
                      <a:xfrm>
                        <a:off x="0" y="0"/>
                        <a:ext cx="2125531" cy="4476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A439F4">
                          <w:pP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pPr>
                          <w:r>
                            <w:rPr>
                              <w:rFonts w:hint="eastAsia" w:eastAsia="微软雅黑"/>
                              <w:b/>
                              <w:bCs/>
                              <w:color w:val="00A2E9"/>
                              <w:sz w:val="48"/>
                              <w:szCs w:val="48"/>
                              <w14:shadow w14:blurRad="38100" w14:dist="19050" w14:dir="2700000" w14:sx="100000" w14:sy="100000" w14:kx="0" w14:ky="0" w14:algn="tl">
                                <w14:schemeClr w14:val="dk1">
                                  <w14:alpha w14:val="60000"/>
                                </w14:schemeClr>
                              </w14:shadow>
                              <w14:props3d w14:extrusionH="0" w14:contourW="0" w14:prstMaterial="clear"/>
                            </w:rPr>
                            <w:t>HEUR-540D</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24.5pt;margin-top:6.8pt;height:35.25pt;width:167.35pt;mso-position-horizontal-relative:margin;z-index:251659264;mso-width-relative:page;mso-height-relative:page;" filled="f" stroked="f" coordsize="21600,21600" o:gfxdata="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&#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0EA7F9sAAAAJAQAADwAAAAAAAAABACAAAAAiAAAAZHJz&#10;L2Rvd25yZXYueG1sUEsBAhQAFAAAAAgAh07iQIBXIak6AgAAZgQAAA4AAAAAAAAAAQAgAAAAKgEA&#10;AGRycy9lMm9Eb2MueG1sUEsFBgAAAAAGAAYAWQEAANYFAAAAAA==&#10;">
              <v:fill on="f" focussize="0,0"/>
              <v:stroke on="f" weight="0.5pt"/>
              <v:imagedata o:title=""/>
              <o:lock v:ext="edit" aspectratio="f"/>
              <v:textbox>
                <w:txbxContent>
                  <w:p w14:paraId="36A439F4">
                    <w:pP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pPr>
                    <w:r>
                      <w:rPr>
                        <w:rFonts w:hint="eastAsia" w:eastAsia="微软雅黑"/>
                        <w:b/>
                        <w:bCs/>
                        <w:color w:val="00A2E9"/>
                        <w:sz w:val="48"/>
                        <w:szCs w:val="48"/>
                        <w14:shadow w14:blurRad="38100" w14:dist="19050" w14:dir="2700000" w14:sx="100000" w14:sy="100000" w14:kx="0" w14:ky="0" w14:algn="tl">
                          <w14:schemeClr w14:val="dk1">
                            <w14:alpha w14:val="60000"/>
                          </w14:schemeClr>
                        </w14:shadow>
                        <w14:props3d w14:extrusionH="0" w14:contourW="0" w14:prstMaterial="clear"/>
                      </w:rPr>
                      <w:t>HEUR-540D</w:t>
                    </w:r>
                  </w:p>
                </w:txbxContent>
              </v:textbox>
            </v:shape>
          </w:pict>
        </mc:Fallback>
      </mc:AlternateContent>
    </w:r>
    <w:r>
      <w:rPr>
        <w:sz w:val="10"/>
        <w:szCs w:val="10"/>
      </w:rPr>
      <w:drawing>
        <wp:inline distT="0" distB="0" distL="0" distR="0">
          <wp:extent cx="773430" cy="877570"/>
          <wp:effectExtent l="0" t="0" r="7620" b="17780"/>
          <wp:docPr id="78719178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191786" name="图片 6"/>
                  <pic:cNvPicPr>
                    <a:picLocks noChangeAspect="1"/>
                  </pic:cNvPicPr>
                </pic:nvPicPr>
                <pic:blipFill>
                  <a:blip r:embed="rId1"/>
                  <a:stretch>
                    <a:fillRect/>
                  </a:stretch>
                </pic:blipFill>
                <pic:spPr>
                  <a:xfrm>
                    <a:off x="0" y="0"/>
                    <a:ext cx="780779" cy="885627"/>
                  </a:xfrm>
                  <a:prstGeom prst="rect">
                    <a:avLst/>
                  </a:prstGeom>
                </pic:spPr>
              </pic:pic>
            </a:graphicData>
          </a:graphic>
        </wp:inline>
      </w:drawing>
    </w:r>
    <w:r>
      <w:rPr>
        <w:rFonts w:ascii="微软雅黑" w:hAnsi="微软雅黑" w:eastAsia="微软雅黑" w:cs="微软雅黑"/>
        <w:szCs w:val="21"/>
      </w:rPr>
      <w:drawing>
        <wp:inline distT="0" distB="0" distL="0" distR="0">
          <wp:extent cx="2828925" cy="457200"/>
          <wp:effectExtent l="0" t="0" r="9525" b="0"/>
          <wp:docPr id="127529797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297970" name="图片 7"/>
                  <pic:cNvPicPr>
                    <a:picLocks noChangeAspect="1"/>
                  </pic:cNvPicPr>
                </pic:nvPicPr>
                <pic:blipFill>
                  <a:blip r:embed="rId2"/>
                  <a:stretch>
                    <a:fillRect/>
                  </a:stretch>
                </pic:blipFill>
                <pic:spPr>
                  <a:xfrm>
                    <a:off x="0" y="0"/>
                    <a:ext cx="2883654" cy="465956"/>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FkMmFjNTIzYTc2MzM4YzI5MjhhZjFlYzFlYTkyNWUifQ=="/>
    <w:docVar w:name="KSO_WPS_MARK_KEY" w:val="9e5ed2ef-df1b-49b7-8e7e-1ada10df08c8"/>
  </w:docVars>
  <w:rsids>
    <w:rsidRoot w:val="00912B14"/>
    <w:rsid w:val="000059BA"/>
    <w:rsid w:val="0004443A"/>
    <w:rsid w:val="000B770F"/>
    <w:rsid w:val="000F7CCE"/>
    <w:rsid w:val="00136635"/>
    <w:rsid w:val="00156019"/>
    <w:rsid w:val="00200121"/>
    <w:rsid w:val="0023798A"/>
    <w:rsid w:val="00264EA8"/>
    <w:rsid w:val="00296707"/>
    <w:rsid w:val="002D77F0"/>
    <w:rsid w:val="002F6D5B"/>
    <w:rsid w:val="003550AC"/>
    <w:rsid w:val="003B16AF"/>
    <w:rsid w:val="003F48D2"/>
    <w:rsid w:val="00455912"/>
    <w:rsid w:val="004A6FC9"/>
    <w:rsid w:val="00505831"/>
    <w:rsid w:val="00527365"/>
    <w:rsid w:val="00596990"/>
    <w:rsid w:val="005C5E3D"/>
    <w:rsid w:val="005D2EFD"/>
    <w:rsid w:val="006806FB"/>
    <w:rsid w:val="007F0471"/>
    <w:rsid w:val="008146DC"/>
    <w:rsid w:val="008667C6"/>
    <w:rsid w:val="00867CB0"/>
    <w:rsid w:val="00912B14"/>
    <w:rsid w:val="00942B6C"/>
    <w:rsid w:val="0097112D"/>
    <w:rsid w:val="009D169C"/>
    <w:rsid w:val="00A23D4B"/>
    <w:rsid w:val="00A840FC"/>
    <w:rsid w:val="00AF037D"/>
    <w:rsid w:val="00B829A2"/>
    <w:rsid w:val="00BB18F4"/>
    <w:rsid w:val="00CB1423"/>
    <w:rsid w:val="00CD627A"/>
    <w:rsid w:val="00CE110F"/>
    <w:rsid w:val="00D33741"/>
    <w:rsid w:val="00D55D1D"/>
    <w:rsid w:val="00D7688D"/>
    <w:rsid w:val="00D8489A"/>
    <w:rsid w:val="00DF58F0"/>
    <w:rsid w:val="00E64056"/>
    <w:rsid w:val="00E841A6"/>
    <w:rsid w:val="00EB567E"/>
    <w:rsid w:val="00F02A8D"/>
    <w:rsid w:val="00F253D2"/>
    <w:rsid w:val="00F604E3"/>
    <w:rsid w:val="00FF53BD"/>
    <w:rsid w:val="011078C7"/>
    <w:rsid w:val="0183453D"/>
    <w:rsid w:val="01EF3980"/>
    <w:rsid w:val="02442FC2"/>
    <w:rsid w:val="03100052"/>
    <w:rsid w:val="04A94C9E"/>
    <w:rsid w:val="04AE7B23"/>
    <w:rsid w:val="052B4CCF"/>
    <w:rsid w:val="05720C57"/>
    <w:rsid w:val="064C714F"/>
    <w:rsid w:val="065F6521"/>
    <w:rsid w:val="06D931EF"/>
    <w:rsid w:val="070F7027"/>
    <w:rsid w:val="07941252"/>
    <w:rsid w:val="07C140EA"/>
    <w:rsid w:val="07D21D7A"/>
    <w:rsid w:val="08071A24"/>
    <w:rsid w:val="0854453D"/>
    <w:rsid w:val="085731EC"/>
    <w:rsid w:val="08955CEE"/>
    <w:rsid w:val="09AA6B0A"/>
    <w:rsid w:val="09C007EB"/>
    <w:rsid w:val="09CB6A81"/>
    <w:rsid w:val="0AC459AA"/>
    <w:rsid w:val="0AD52242"/>
    <w:rsid w:val="0B8F4175"/>
    <w:rsid w:val="0BA22DE5"/>
    <w:rsid w:val="0BC1292A"/>
    <w:rsid w:val="0C0C50ED"/>
    <w:rsid w:val="0C2F32F7"/>
    <w:rsid w:val="0CAF6706"/>
    <w:rsid w:val="0CE9794A"/>
    <w:rsid w:val="0D054058"/>
    <w:rsid w:val="0E461615"/>
    <w:rsid w:val="0E4A2063"/>
    <w:rsid w:val="0E6E541F"/>
    <w:rsid w:val="0F316173"/>
    <w:rsid w:val="0F622D6C"/>
    <w:rsid w:val="0F7B6853"/>
    <w:rsid w:val="0F7E1B5D"/>
    <w:rsid w:val="0F7E29D8"/>
    <w:rsid w:val="0F8C2F08"/>
    <w:rsid w:val="0FEE3829"/>
    <w:rsid w:val="103C4234"/>
    <w:rsid w:val="10AB3168"/>
    <w:rsid w:val="111904EE"/>
    <w:rsid w:val="112B531D"/>
    <w:rsid w:val="13174AE5"/>
    <w:rsid w:val="13847EF8"/>
    <w:rsid w:val="13CE5AEB"/>
    <w:rsid w:val="145B0209"/>
    <w:rsid w:val="14B720DC"/>
    <w:rsid w:val="150C43FD"/>
    <w:rsid w:val="15127C5A"/>
    <w:rsid w:val="151C4634"/>
    <w:rsid w:val="156364B0"/>
    <w:rsid w:val="156602C5"/>
    <w:rsid w:val="158C3568"/>
    <w:rsid w:val="158E3DE7"/>
    <w:rsid w:val="16125B82"/>
    <w:rsid w:val="163A2FC4"/>
    <w:rsid w:val="16677B31"/>
    <w:rsid w:val="177D4274"/>
    <w:rsid w:val="181E4B7E"/>
    <w:rsid w:val="184719C8"/>
    <w:rsid w:val="190855FC"/>
    <w:rsid w:val="19145D4E"/>
    <w:rsid w:val="198D78AF"/>
    <w:rsid w:val="1AA03FCF"/>
    <w:rsid w:val="1AB9480C"/>
    <w:rsid w:val="1AD1412F"/>
    <w:rsid w:val="1B1E1106"/>
    <w:rsid w:val="1B8227E1"/>
    <w:rsid w:val="1BAA4748"/>
    <w:rsid w:val="1C0C4A0C"/>
    <w:rsid w:val="1C8C03D3"/>
    <w:rsid w:val="1CBB7F06"/>
    <w:rsid w:val="1D831216"/>
    <w:rsid w:val="1E1B192D"/>
    <w:rsid w:val="1E5313D0"/>
    <w:rsid w:val="1E6E10D2"/>
    <w:rsid w:val="1EBB6C6C"/>
    <w:rsid w:val="1EC65D3D"/>
    <w:rsid w:val="1EF9624C"/>
    <w:rsid w:val="1F175729"/>
    <w:rsid w:val="1F244168"/>
    <w:rsid w:val="20234AC9"/>
    <w:rsid w:val="20AE6A88"/>
    <w:rsid w:val="21A15D39"/>
    <w:rsid w:val="223C359F"/>
    <w:rsid w:val="224C6559"/>
    <w:rsid w:val="22BE6D2B"/>
    <w:rsid w:val="22C84AC3"/>
    <w:rsid w:val="22F1664C"/>
    <w:rsid w:val="233D0598"/>
    <w:rsid w:val="23B51EDC"/>
    <w:rsid w:val="24173588"/>
    <w:rsid w:val="24414A2E"/>
    <w:rsid w:val="24CD36D8"/>
    <w:rsid w:val="24D764A3"/>
    <w:rsid w:val="25212C68"/>
    <w:rsid w:val="253357AE"/>
    <w:rsid w:val="255B2F57"/>
    <w:rsid w:val="256E5E50"/>
    <w:rsid w:val="257D6812"/>
    <w:rsid w:val="25F969F8"/>
    <w:rsid w:val="26232D49"/>
    <w:rsid w:val="266A3ED9"/>
    <w:rsid w:val="27F67809"/>
    <w:rsid w:val="285B5212"/>
    <w:rsid w:val="289366BF"/>
    <w:rsid w:val="28D249F8"/>
    <w:rsid w:val="28DC7F0B"/>
    <w:rsid w:val="29FE3870"/>
    <w:rsid w:val="2A24213D"/>
    <w:rsid w:val="2A2A637C"/>
    <w:rsid w:val="2A706411"/>
    <w:rsid w:val="2AFD21C9"/>
    <w:rsid w:val="2D0619FA"/>
    <w:rsid w:val="2D534BA2"/>
    <w:rsid w:val="2DA21723"/>
    <w:rsid w:val="2DBA1DF2"/>
    <w:rsid w:val="2EEB0EA8"/>
    <w:rsid w:val="2F7B222C"/>
    <w:rsid w:val="2F8C6D98"/>
    <w:rsid w:val="2FFE4C0B"/>
    <w:rsid w:val="304463CA"/>
    <w:rsid w:val="30954A7B"/>
    <w:rsid w:val="30AE3614"/>
    <w:rsid w:val="30D00C4A"/>
    <w:rsid w:val="31815D52"/>
    <w:rsid w:val="31F1602E"/>
    <w:rsid w:val="329A50BF"/>
    <w:rsid w:val="32B617CD"/>
    <w:rsid w:val="33075F48"/>
    <w:rsid w:val="3424477C"/>
    <w:rsid w:val="34B166F0"/>
    <w:rsid w:val="34C65B5C"/>
    <w:rsid w:val="34CF6B76"/>
    <w:rsid w:val="3538471B"/>
    <w:rsid w:val="358F0212"/>
    <w:rsid w:val="362F0630"/>
    <w:rsid w:val="366B0946"/>
    <w:rsid w:val="366E5B00"/>
    <w:rsid w:val="377356FF"/>
    <w:rsid w:val="37B02520"/>
    <w:rsid w:val="37B5307D"/>
    <w:rsid w:val="37CA4590"/>
    <w:rsid w:val="384E4AEF"/>
    <w:rsid w:val="38A547BD"/>
    <w:rsid w:val="38AF1198"/>
    <w:rsid w:val="38B44A29"/>
    <w:rsid w:val="3B1B42C7"/>
    <w:rsid w:val="3B2C6AD0"/>
    <w:rsid w:val="3B6C76A7"/>
    <w:rsid w:val="3B8B1A48"/>
    <w:rsid w:val="3BBD3BCC"/>
    <w:rsid w:val="3BE63123"/>
    <w:rsid w:val="3BF1545C"/>
    <w:rsid w:val="3BFC46F4"/>
    <w:rsid w:val="3C4B3342"/>
    <w:rsid w:val="3CC90F0B"/>
    <w:rsid w:val="3D5F222C"/>
    <w:rsid w:val="3E2A0056"/>
    <w:rsid w:val="3E2E2B5F"/>
    <w:rsid w:val="3E991ECF"/>
    <w:rsid w:val="3EA94D74"/>
    <w:rsid w:val="3F032F8F"/>
    <w:rsid w:val="3F7C4554"/>
    <w:rsid w:val="3F9453C0"/>
    <w:rsid w:val="3FA7706D"/>
    <w:rsid w:val="3FD80FD4"/>
    <w:rsid w:val="40956EC5"/>
    <w:rsid w:val="40CA5FBF"/>
    <w:rsid w:val="40ED0AAF"/>
    <w:rsid w:val="40F55BB6"/>
    <w:rsid w:val="40FA4F7A"/>
    <w:rsid w:val="41801923"/>
    <w:rsid w:val="41852ECE"/>
    <w:rsid w:val="42130A14"/>
    <w:rsid w:val="42BD542D"/>
    <w:rsid w:val="43420752"/>
    <w:rsid w:val="436D5ED7"/>
    <w:rsid w:val="43A917E1"/>
    <w:rsid w:val="43C156DA"/>
    <w:rsid w:val="44023B4A"/>
    <w:rsid w:val="44057542"/>
    <w:rsid w:val="44332120"/>
    <w:rsid w:val="44480717"/>
    <w:rsid w:val="44AC63E9"/>
    <w:rsid w:val="46226B63"/>
    <w:rsid w:val="46511CBF"/>
    <w:rsid w:val="46650534"/>
    <w:rsid w:val="47173CBF"/>
    <w:rsid w:val="47B265AF"/>
    <w:rsid w:val="47E42EC8"/>
    <w:rsid w:val="48541414"/>
    <w:rsid w:val="48543647"/>
    <w:rsid w:val="488E1498"/>
    <w:rsid w:val="48B33638"/>
    <w:rsid w:val="48CB55C6"/>
    <w:rsid w:val="49477D3A"/>
    <w:rsid w:val="49512BF7"/>
    <w:rsid w:val="49544966"/>
    <w:rsid w:val="49BB1EB8"/>
    <w:rsid w:val="4A8D4ABA"/>
    <w:rsid w:val="4ABE5659"/>
    <w:rsid w:val="4AF061D5"/>
    <w:rsid w:val="4AFC57DE"/>
    <w:rsid w:val="4CCE6112"/>
    <w:rsid w:val="4D0A2F51"/>
    <w:rsid w:val="4E304853"/>
    <w:rsid w:val="4E3844A7"/>
    <w:rsid w:val="4E454986"/>
    <w:rsid w:val="4EB805B5"/>
    <w:rsid w:val="4F3A16E7"/>
    <w:rsid w:val="4FC74BC1"/>
    <w:rsid w:val="506863A4"/>
    <w:rsid w:val="512377DF"/>
    <w:rsid w:val="5160707C"/>
    <w:rsid w:val="51F326E1"/>
    <w:rsid w:val="53625877"/>
    <w:rsid w:val="53F266B1"/>
    <w:rsid w:val="53FB3634"/>
    <w:rsid w:val="53FF5197"/>
    <w:rsid w:val="543A3BB4"/>
    <w:rsid w:val="54781E35"/>
    <w:rsid w:val="54A026CC"/>
    <w:rsid w:val="550B73D9"/>
    <w:rsid w:val="55B31438"/>
    <w:rsid w:val="568850AA"/>
    <w:rsid w:val="56D71B8E"/>
    <w:rsid w:val="57783AA4"/>
    <w:rsid w:val="57BE68AA"/>
    <w:rsid w:val="58613E05"/>
    <w:rsid w:val="5886047F"/>
    <w:rsid w:val="58951D01"/>
    <w:rsid w:val="59975605"/>
    <w:rsid w:val="5C1827CF"/>
    <w:rsid w:val="5CAC0BE1"/>
    <w:rsid w:val="5D3E405D"/>
    <w:rsid w:val="5D4B0BE0"/>
    <w:rsid w:val="5D5C4B9B"/>
    <w:rsid w:val="5DA90B12"/>
    <w:rsid w:val="5E161FB4"/>
    <w:rsid w:val="5F897FFB"/>
    <w:rsid w:val="5F921216"/>
    <w:rsid w:val="600357A2"/>
    <w:rsid w:val="60896C0E"/>
    <w:rsid w:val="60F670B5"/>
    <w:rsid w:val="61577E9E"/>
    <w:rsid w:val="61AB4343"/>
    <w:rsid w:val="61D9780F"/>
    <w:rsid w:val="6223037D"/>
    <w:rsid w:val="62610BBD"/>
    <w:rsid w:val="6292369A"/>
    <w:rsid w:val="62B66AFB"/>
    <w:rsid w:val="62F13FD7"/>
    <w:rsid w:val="63A9762F"/>
    <w:rsid w:val="642F7C07"/>
    <w:rsid w:val="643E324C"/>
    <w:rsid w:val="64A01EB8"/>
    <w:rsid w:val="65A92947"/>
    <w:rsid w:val="665B0D53"/>
    <w:rsid w:val="668313EA"/>
    <w:rsid w:val="66C646B1"/>
    <w:rsid w:val="66F63506"/>
    <w:rsid w:val="67193AFD"/>
    <w:rsid w:val="67567154"/>
    <w:rsid w:val="67B051FD"/>
    <w:rsid w:val="6884276C"/>
    <w:rsid w:val="691A5E80"/>
    <w:rsid w:val="69230FC3"/>
    <w:rsid w:val="692B4588"/>
    <w:rsid w:val="699B6A4B"/>
    <w:rsid w:val="69A02C0D"/>
    <w:rsid w:val="69C42446"/>
    <w:rsid w:val="6A0D509F"/>
    <w:rsid w:val="6A146B9D"/>
    <w:rsid w:val="6A832D36"/>
    <w:rsid w:val="6B2813E2"/>
    <w:rsid w:val="6BA4668D"/>
    <w:rsid w:val="6C1333E3"/>
    <w:rsid w:val="6C554405"/>
    <w:rsid w:val="6C7864D8"/>
    <w:rsid w:val="6CA67BE1"/>
    <w:rsid w:val="6D5957F1"/>
    <w:rsid w:val="6DBD689D"/>
    <w:rsid w:val="6E114605"/>
    <w:rsid w:val="6E230A25"/>
    <w:rsid w:val="6E4F6056"/>
    <w:rsid w:val="6E70494A"/>
    <w:rsid w:val="6E9D3265"/>
    <w:rsid w:val="6F3C482C"/>
    <w:rsid w:val="6FC1690D"/>
    <w:rsid w:val="6FDA5069"/>
    <w:rsid w:val="701E3F32"/>
    <w:rsid w:val="70AC59E2"/>
    <w:rsid w:val="71530C3F"/>
    <w:rsid w:val="716449CA"/>
    <w:rsid w:val="716A04B8"/>
    <w:rsid w:val="71FA7527"/>
    <w:rsid w:val="73155AC0"/>
    <w:rsid w:val="73972979"/>
    <w:rsid w:val="739764D5"/>
    <w:rsid w:val="74784559"/>
    <w:rsid w:val="760D074D"/>
    <w:rsid w:val="76187FA1"/>
    <w:rsid w:val="7683312E"/>
    <w:rsid w:val="76960CC6"/>
    <w:rsid w:val="76D67314"/>
    <w:rsid w:val="77955421"/>
    <w:rsid w:val="780313AD"/>
    <w:rsid w:val="786D102C"/>
    <w:rsid w:val="792064E4"/>
    <w:rsid w:val="793B4942"/>
    <w:rsid w:val="79960FDD"/>
    <w:rsid w:val="79E1494E"/>
    <w:rsid w:val="7A6C06BC"/>
    <w:rsid w:val="7A6E32DC"/>
    <w:rsid w:val="7BBB10DA"/>
    <w:rsid w:val="7BF2699E"/>
    <w:rsid w:val="7C3D4373"/>
    <w:rsid w:val="7D284642"/>
    <w:rsid w:val="7D39684F"/>
    <w:rsid w:val="7D5B42AD"/>
    <w:rsid w:val="7DD84170"/>
    <w:rsid w:val="7DF87B8B"/>
    <w:rsid w:val="7E0429B9"/>
    <w:rsid w:val="7E0A5DEF"/>
    <w:rsid w:val="7E6165D9"/>
    <w:rsid w:val="7E623774"/>
    <w:rsid w:val="7ED76320"/>
    <w:rsid w:val="7F281712"/>
    <w:rsid w:val="7F7E5CBF"/>
    <w:rsid w:val="7F995383"/>
    <w:rsid w:val="7FA93818"/>
    <w:rsid w:val="7FF2166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1"/>
    <w:qFormat/>
    <w:uiPriority w:val="9"/>
    <w:pPr>
      <w:widowControl/>
      <w:spacing w:before="100" w:beforeAutospacing="1" w:after="100" w:afterAutospacing="1"/>
      <w:jc w:val="left"/>
      <w:outlineLvl w:val="0"/>
    </w:pPr>
    <w:rPr>
      <w:rFonts w:ascii="宋体" w:hAnsi="宋体" w:cs="宋体"/>
      <w:b/>
      <w:bCs/>
      <w:kern w:val="36"/>
      <w:sz w:val="48"/>
      <w:szCs w:val="48"/>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Default"/>
    <w:qFormat/>
    <w:uiPriority w:val="0"/>
    <w:pPr>
      <w:widowControl w:val="0"/>
      <w:autoSpaceDE w:val="0"/>
      <w:autoSpaceDN w:val="0"/>
      <w:adjustRightInd w:val="0"/>
    </w:pPr>
    <w:rPr>
      <w:rFonts w:ascii="华文宋体" w:hAnsi="Times New Roman" w:eastAsia="华文宋体" w:cs="华文宋体"/>
      <w:color w:val="000000"/>
      <w:sz w:val="24"/>
      <w:szCs w:val="24"/>
      <w:lang w:val="en-US" w:eastAsia="zh-CN" w:bidi="ar-SA"/>
    </w:rPr>
  </w:style>
  <w:style w:type="character" w:customStyle="1" w:styleId="11">
    <w:name w:val="标题 1 字符"/>
    <w:basedOn w:val="9"/>
    <w:link w:val="2"/>
    <w:qFormat/>
    <w:uiPriority w:val="9"/>
    <w:rPr>
      <w:rFonts w:ascii="宋体" w:hAnsi="宋体" w:cs="宋体"/>
      <w:b/>
      <w:bCs/>
      <w:kern w:val="36"/>
      <w:sz w:val="48"/>
      <w:szCs w:val="4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391</Words>
  <Characters>2392</Characters>
  <Lines>5</Lines>
  <Paragraphs>1</Paragraphs>
  <TotalTime>0</TotalTime>
  <ScaleCrop>false</ScaleCrop>
  <LinksUpToDate>false</LinksUpToDate>
  <CharactersWithSpaces>2746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2025-03-27T02:56:00Z</dcterms:created>
  <dc:creator>Davis</dc:creator>
  <cp:lastModifiedBy>戴眼镜的麻杆。</cp:lastModifiedBy>
  <cp:lastPrinted>2024-08-07T16:31:00Z</cp:lastPrinted>
  <dcterms:modified xsi:type="dcterms:W3CDTF">2026-04-20T07:10:20Z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7E570F67319C4FD49E26C3661D7D2AD1_13</vt:lpwstr>
  </property>
  <property fmtid="{D5CDD505-2E9C-101B-9397-08002B2CF9AE}" pid="4" name="KSOTemplateDocerSaveRecord">
    <vt:lpwstr>eyJoZGlkIjoiN2FkMmFjNTIzYTc2MzM4YzI5MjhhZjFlYzFlYTkyNWUiLCJ1c2VySWQiOiIxMTk5MzAzNjYzIn0=</vt:lpwstr>
  </property>
</Properties>
</file>