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67F23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6"/>
          <w:szCs w:val="36"/>
        </w:rPr>
      </w:pPr>
      <w:r>
        <w:rPr>
          <w:rFonts w:hint="default" w:ascii="Arial" w:hAnsi="Arial" w:cs="Arial"/>
          <w:color w:val="000000"/>
          <w:sz w:val="36"/>
          <w:szCs w:val="36"/>
        </w:rPr>
        <w:t>Product Technical Specification</w:t>
      </w:r>
    </w:p>
    <w:p w14:paraId="54F8341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Introduction</w:t>
      </w:r>
    </w:p>
    <w:p w14:paraId="78214A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HEUR-540E is a liquid water-based thickener with polyurethane components and easy application. It outperforms traditional cellulose-based thickeners (e.g., HEC hydroxyethyl cellulose, MC methyl cellulose, etc.) and acrylic thickeners in terms of thixotropy, film gloss and water resistance.</w:t>
      </w:r>
    </w:p>
    <w:p w14:paraId="1F579A6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Technical Parameters*</w:t>
      </w:r>
    </w:p>
    <w:tbl>
      <w:tblPr>
        <w:tblW w:w="90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831"/>
        <w:gridCol w:w="6188"/>
      </w:tblGrid>
      <w:tr w14:paraId="1D2AA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blHeader/>
        </w:trPr>
        <w:tc>
          <w:tcPr>
            <w:tcW w:w="2831" w:type="dxa"/>
            <w:tcBorders>
              <w:top w:val="single" w:color="auto" w:sz="8" w:space="0"/>
              <w:left w:val="nil"/>
              <w:bottom w:val="single" w:color="auto" w:sz="8" w:space="0"/>
              <w:right w:val="nil"/>
            </w:tcBorders>
            <w:shd w:val="clear"/>
            <w:tcMar>
              <w:top w:w="120" w:type="dxa"/>
              <w:left w:w="120" w:type="dxa"/>
              <w:bottom w:w="120" w:type="dxa"/>
              <w:right w:w="120" w:type="dxa"/>
            </w:tcMar>
            <w:vAlign w:val="center"/>
          </w:tcPr>
          <w:p w14:paraId="2C50A6A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b/>
                <w:bCs/>
                <w:color w:val="000000"/>
                <w:kern w:val="0"/>
                <w:sz w:val="28"/>
                <w:szCs w:val="28"/>
                <w:lang w:val="en-US" w:eastAsia="zh-CN" w:bidi="ar"/>
              </w:rPr>
            </w:pPr>
            <w:bookmarkStart w:id="0" w:name="_GoBack" w:colFirst="0" w:colLast="1"/>
            <w:r>
              <w:rPr>
                <w:rFonts w:hint="default" w:ascii="Arial" w:hAnsi="Arial" w:eastAsia="宋体" w:cs="Arial"/>
                <w:b/>
                <w:bCs/>
                <w:color w:val="000000"/>
                <w:kern w:val="0"/>
                <w:sz w:val="28"/>
                <w:szCs w:val="28"/>
                <w:lang w:val="en-US" w:eastAsia="zh-CN" w:bidi="ar"/>
              </w:rPr>
              <w:t>Item</w:t>
            </w:r>
          </w:p>
        </w:tc>
        <w:tc>
          <w:tcPr>
            <w:tcW w:w="6188" w:type="dxa"/>
            <w:tcBorders>
              <w:top w:val="single" w:color="auto" w:sz="8" w:space="0"/>
              <w:left w:val="nil"/>
              <w:bottom w:val="single" w:color="auto" w:sz="8" w:space="0"/>
              <w:right w:val="nil"/>
            </w:tcBorders>
            <w:shd w:val="clear"/>
            <w:tcMar>
              <w:top w:w="120" w:type="dxa"/>
              <w:left w:w="120" w:type="dxa"/>
              <w:bottom w:w="120" w:type="dxa"/>
              <w:right w:w="120" w:type="dxa"/>
            </w:tcMar>
            <w:vAlign w:val="center"/>
          </w:tcPr>
          <w:p w14:paraId="677CA5D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b/>
                <w:bCs/>
                <w:color w:val="000000"/>
                <w:kern w:val="0"/>
                <w:sz w:val="28"/>
                <w:szCs w:val="28"/>
                <w:lang w:val="en-US" w:eastAsia="zh-CN" w:bidi="ar"/>
              </w:rPr>
            </w:pPr>
            <w:r>
              <w:rPr>
                <w:rFonts w:hint="default" w:ascii="Arial" w:hAnsi="Arial" w:eastAsia="宋体" w:cs="Arial"/>
                <w:b/>
                <w:bCs/>
                <w:color w:val="000000"/>
                <w:kern w:val="0"/>
                <w:sz w:val="28"/>
                <w:szCs w:val="28"/>
                <w:lang w:val="en-US" w:eastAsia="zh-CN" w:bidi="ar"/>
              </w:rPr>
              <w:t>Specification</w:t>
            </w:r>
          </w:p>
        </w:tc>
      </w:tr>
      <w:tr w14:paraId="4F9B5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rPr>
        <w:tc>
          <w:tcPr>
            <w:tcW w:w="2831" w:type="dxa"/>
            <w:tcBorders>
              <w:top w:val="single" w:color="auto" w:sz="8" w:space="0"/>
              <w:left w:val="nil"/>
              <w:bottom w:val="nil"/>
              <w:right w:val="nil"/>
            </w:tcBorders>
            <w:shd w:val="clear"/>
            <w:tcMar>
              <w:top w:w="120" w:type="dxa"/>
              <w:left w:w="120" w:type="dxa"/>
              <w:bottom w:w="120" w:type="dxa"/>
              <w:right w:w="120" w:type="dxa"/>
            </w:tcMar>
            <w:vAlign w:val="center"/>
          </w:tcPr>
          <w:p w14:paraId="53C97F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Appearance</w:t>
            </w:r>
          </w:p>
        </w:tc>
        <w:tc>
          <w:tcPr>
            <w:tcW w:w="6188" w:type="dxa"/>
            <w:tcBorders>
              <w:top w:val="single" w:color="auto" w:sz="8" w:space="0"/>
              <w:left w:val="nil"/>
              <w:bottom w:val="nil"/>
              <w:right w:val="nil"/>
            </w:tcBorders>
            <w:shd w:val="clear"/>
            <w:tcMar>
              <w:top w:w="120" w:type="dxa"/>
              <w:left w:w="120" w:type="dxa"/>
              <w:bottom w:w="120" w:type="dxa"/>
              <w:right w:w="120" w:type="dxa"/>
            </w:tcMar>
            <w:vAlign w:val="center"/>
          </w:tcPr>
          <w:p w14:paraId="6CC63F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Milky white liquid</w:t>
            </w:r>
          </w:p>
        </w:tc>
      </w:tr>
      <w:tr w14:paraId="14F47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rPr>
        <w:tc>
          <w:tcPr>
            <w:tcW w:w="2831" w:type="dxa"/>
            <w:tcBorders>
              <w:top w:val="nil"/>
              <w:left w:val="nil"/>
              <w:bottom w:val="nil"/>
              <w:right w:val="nil"/>
            </w:tcBorders>
            <w:shd w:val="clear"/>
            <w:tcMar>
              <w:top w:w="120" w:type="dxa"/>
              <w:left w:w="120" w:type="dxa"/>
              <w:bottom w:w="120" w:type="dxa"/>
              <w:right w:w="120" w:type="dxa"/>
            </w:tcMar>
            <w:vAlign w:val="center"/>
          </w:tcPr>
          <w:p w14:paraId="6A2553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Solid content</w:t>
            </w:r>
          </w:p>
        </w:tc>
        <w:tc>
          <w:tcPr>
            <w:tcW w:w="6188" w:type="dxa"/>
            <w:tcBorders>
              <w:top w:val="nil"/>
              <w:left w:val="nil"/>
              <w:bottom w:val="nil"/>
              <w:right w:val="nil"/>
            </w:tcBorders>
            <w:shd w:val="clear"/>
            <w:tcMar>
              <w:top w:w="120" w:type="dxa"/>
              <w:left w:w="120" w:type="dxa"/>
              <w:bottom w:w="120" w:type="dxa"/>
              <w:right w:w="120" w:type="dxa"/>
            </w:tcMar>
            <w:vAlign w:val="center"/>
          </w:tcPr>
          <w:p w14:paraId="60955A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40%±1%</w:t>
            </w:r>
          </w:p>
        </w:tc>
      </w:tr>
      <w:tr w14:paraId="6E5F1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rPr>
        <w:tc>
          <w:tcPr>
            <w:tcW w:w="2831" w:type="dxa"/>
            <w:tcBorders>
              <w:top w:val="nil"/>
              <w:left w:val="nil"/>
              <w:bottom w:val="nil"/>
              <w:right w:val="nil"/>
            </w:tcBorders>
            <w:shd w:val="clear"/>
            <w:tcMar>
              <w:top w:w="120" w:type="dxa"/>
              <w:left w:w="120" w:type="dxa"/>
              <w:bottom w:w="120" w:type="dxa"/>
              <w:right w:w="120" w:type="dxa"/>
            </w:tcMar>
            <w:vAlign w:val="center"/>
          </w:tcPr>
          <w:p w14:paraId="6AA416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Colloid charge</w:t>
            </w:r>
          </w:p>
        </w:tc>
        <w:tc>
          <w:tcPr>
            <w:tcW w:w="6188" w:type="dxa"/>
            <w:tcBorders>
              <w:top w:val="nil"/>
              <w:left w:val="nil"/>
              <w:bottom w:val="nil"/>
              <w:right w:val="nil"/>
            </w:tcBorders>
            <w:shd w:val="clear"/>
            <w:tcMar>
              <w:top w:w="120" w:type="dxa"/>
              <w:left w:w="120" w:type="dxa"/>
              <w:bottom w:w="120" w:type="dxa"/>
              <w:right w:w="120" w:type="dxa"/>
            </w:tcMar>
            <w:vAlign w:val="center"/>
          </w:tcPr>
          <w:p w14:paraId="5BD4C2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Non-ionic</w:t>
            </w:r>
          </w:p>
        </w:tc>
      </w:tr>
      <w:tr w14:paraId="5E367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rPr>
        <w:tc>
          <w:tcPr>
            <w:tcW w:w="2831" w:type="dxa"/>
            <w:tcBorders>
              <w:top w:val="nil"/>
              <w:left w:val="nil"/>
              <w:bottom w:val="nil"/>
              <w:right w:val="nil"/>
            </w:tcBorders>
            <w:shd w:val="clear"/>
            <w:tcMar>
              <w:top w:w="120" w:type="dxa"/>
              <w:left w:w="120" w:type="dxa"/>
              <w:bottom w:w="120" w:type="dxa"/>
              <w:right w:w="120" w:type="dxa"/>
            </w:tcMar>
            <w:vAlign w:val="center"/>
          </w:tcPr>
          <w:p w14:paraId="48A70C4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Viscosity</w:t>
            </w:r>
          </w:p>
        </w:tc>
        <w:tc>
          <w:tcPr>
            <w:tcW w:w="6188" w:type="dxa"/>
            <w:tcBorders>
              <w:top w:val="nil"/>
              <w:left w:val="nil"/>
              <w:bottom w:val="nil"/>
              <w:right w:val="nil"/>
            </w:tcBorders>
            <w:shd w:val="clear"/>
            <w:tcMar>
              <w:top w:w="120" w:type="dxa"/>
              <w:left w:w="120" w:type="dxa"/>
              <w:bottom w:w="120" w:type="dxa"/>
              <w:right w:w="120" w:type="dxa"/>
            </w:tcMar>
            <w:vAlign w:val="center"/>
          </w:tcPr>
          <w:p w14:paraId="1E246F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5000-8000 mPa·s (25℃)</w:t>
            </w:r>
          </w:p>
        </w:tc>
      </w:tr>
      <w:tr w14:paraId="61727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454" w:hRule="exact"/>
        </w:trPr>
        <w:tc>
          <w:tcPr>
            <w:tcW w:w="2831" w:type="dxa"/>
            <w:tcBorders>
              <w:top w:val="nil"/>
              <w:left w:val="nil"/>
              <w:bottom w:val="single" w:color="auto" w:sz="8" w:space="0"/>
              <w:right w:val="nil"/>
            </w:tcBorders>
            <w:shd w:val="clear"/>
            <w:tcMar>
              <w:top w:w="120" w:type="dxa"/>
              <w:left w:w="120" w:type="dxa"/>
              <w:bottom w:w="120" w:type="dxa"/>
              <w:right w:w="120" w:type="dxa"/>
            </w:tcMar>
            <w:vAlign w:val="center"/>
          </w:tcPr>
          <w:p w14:paraId="189215D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Specific gravity</w:t>
            </w:r>
          </w:p>
        </w:tc>
        <w:tc>
          <w:tcPr>
            <w:tcW w:w="6188" w:type="dxa"/>
            <w:tcBorders>
              <w:top w:val="nil"/>
              <w:left w:val="nil"/>
              <w:bottom w:val="single" w:color="auto" w:sz="8" w:space="0"/>
              <w:right w:val="nil"/>
            </w:tcBorders>
            <w:shd w:val="clear"/>
            <w:tcMar>
              <w:top w:w="120" w:type="dxa"/>
              <w:left w:w="120" w:type="dxa"/>
              <w:bottom w:w="120" w:type="dxa"/>
              <w:right w:w="120" w:type="dxa"/>
            </w:tcMar>
            <w:vAlign w:val="center"/>
          </w:tcPr>
          <w:p w14:paraId="7C8371A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80" w:lineRule="exact"/>
              <w:ind w:right="0"/>
              <w:jc w:val="center"/>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1.02-1.06 g/cm³</w:t>
            </w:r>
          </w:p>
        </w:tc>
      </w:tr>
      <w:bookmarkEnd w:id="0"/>
    </w:tbl>
    <w:p w14:paraId="0FA968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*The above parameters represent typical results only and shall not be regarded as specifications. Refer to the actual COA for details.</w:t>
      </w:r>
    </w:p>
    <w:p w14:paraId="0C0D7E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Application Scope</w:t>
      </w:r>
    </w:p>
    <w:p w14:paraId="5B50AE9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Water-based coatings, water-based adhesives, water-based inks, textile coatings, leather finishing and other fields</w:t>
      </w:r>
    </w:p>
    <w:p w14:paraId="074DB54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Features</w:t>
      </w:r>
    </w:p>
    <w:p w14:paraId="14BD764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Strong associative type, exhibiting high viscosity at low shear, strong pseudoplasticity and high thixotropy;</w:t>
      </w:r>
    </w:p>
    <w:p w14:paraId="506F653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eastAsia" w:ascii="Arial" w:hAnsi="Arial" w:cs="Arial"/>
          <w:color w:val="000000"/>
          <w:sz w:val="24"/>
          <w:szCs w:val="24"/>
          <w:lang w:val="en-US" w:eastAsia="zh-CN"/>
        </w:rPr>
        <w:t>.</w:t>
      </w:r>
      <w:r>
        <w:rPr>
          <w:rFonts w:hint="default" w:ascii="Arial" w:hAnsi="Arial" w:cs="Arial"/>
          <w:color w:val="000000"/>
          <w:sz w:val="24"/>
          <w:szCs w:val="24"/>
        </w:rPr>
        <w:t>Excellent thickening and anti-sagging effects;</w:t>
      </w:r>
    </w:p>
    <w:p w14:paraId="53E92E9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3.</w:t>
      </w:r>
      <w:r>
        <w:rPr>
          <w:rFonts w:hint="default" w:ascii="Arial" w:hAnsi="Arial" w:cs="Arial"/>
          <w:color w:val="000000"/>
          <w:sz w:val="24"/>
          <w:szCs w:val="24"/>
        </w:rPr>
        <w:t>Free of organotin, APEO and other toxic substances;</w:t>
      </w:r>
    </w:p>
    <w:p w14:paraId="3BA134E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4.</w:t>
      </w:r>
      <w:r>
        <w:rPr>
          <w:rFonts w:hint="default" w:ascii="Arial" w:hAnsi="Arial" w:cs="Arial"/>
          <w:color w:val="000000"/>
          <w:sz w:val="24"/>
          <w:szCs w:val="24"/>
        </w:rPr>
        <w:t>Good dispersibility, which assists in the wetting and dispersion of pigments in the formulation;</w:t>
      </w:r>
    </w:p>
    <w:p w14:paraId="0BA436F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5.</w:t>
      </w:r>
      <w:r>
        <w:rPr>
          <w:rFonts w:hint="default" w:ascii="Arial" w:hAnsi="Arial" w:cs="Arial"/>
          <w:color w:val="000000"/>
          <w:sz w:val="24"/>
          <w:szCs w:val="24"/>
        </w:rPr>
        <w:t>Non-ionic nature, with performance unaffected by the pH value of the system;</w:t>
      </w:r>
    </w:p>
    <w:p w14:paraId="4E3772A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6.</w:t>
      </w:r>
      <w:r>
        <w:rPr>
          <w:rFonts w:hint="default" w:ascii="Arial" w:hAnsi="Arial" w:cs="Arial"/>
          <w:color w:val="000000"/>
          <w:sz w:val="24"/>
          <w:szCs w:val="24"/>
        </w:rPr>
        <w:t>No adve</w:t>
      </w:r>
      <w:r>
        <w:rPr>
          <w:rFonts w:hint="default" w:ascii="Arial" w:hAnsi="Arial" w:cs="Arial"/>
          <w:color w:val="000000"/>
          <w:sz w:val="24"/>
          <w:szCs w:val="24"/>
        </w:rPr>
        <w:t>rse effect on the gloss of formulated products.</w:t>
      </w:r>
    </w:p>
    <w:p w14:paraId="48DDE5B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Dosage and Application Method</w:t>
      </w:r>
    </w:p>
    <w:p w14:paraId="714E960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Dosage: 0.2-2.0% relative to the total formulation. Conduct tests to determine the optimal dosage according to the system components and required fluidity before addition.</w:t>
      </w:r>
    </w:p>
    <w:p w14:paraId="72218DF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lang w:val="en-US" w:eastAsia="zh-CN"/>
        </w:rPr>
      </w:pPr>
      <w:r>
        <w:rPr>
          <w:rFonts w:hint="eastAsia" w:ascii="Arial" w:hAnsi="Arial" w:cs="Arial"/>
          <w:color w:val="000000"/>
          <w:sz w:val="24"/>
          <w:szCs w:val="24"/>
          <w:lang w:val="en-US" w:eastAsia="zh-CN"/>
        </w:rPr>
        <w:t>2.</w:t>
      </w:r>
      <w:r>
        <w:rPr>
          <w:rFonts w:hint="default" w:ascii="Arial" w:hAnsi="Arial" w:cs="Arial"/>
          <w:color w:val="000000"/>
          <w:sz w:val="24"/>
          <w:szCs w:val="24"/>
        </w:rPr>
        <w:t>It can</w:t>
      </w:r>
      <w:r>
        <w:rPr>
          <w:rFonts w:hint="default" w:ascii="Arial" w:hAnsi="Arial" w:cs="Arial"/>
          <w:color w:val="000000"/>
          <w:sz w:val="24"/>
          <w:szCs w:val="24"/>
          <w:lang w:val="en-US" w:eastAsia="zh-CN"/>
        </w:rPr>
        <w:t xml:space="preserve"> be added either before or after grinding. It is recommended to add a portion in the early stage and the rest in the later stage.</w:t>
      </w:r>
    </w:p>
    <w:p w14:paraId="09B05DC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8"/>
          <w:szCs w:val="28"/>
        </w:rPr>
      </w:pPr>
      <w:r>
        <w:rPr>
          <w:rFonts w:hint="eastAsia" w:ascii="Arial" w:hAnsi="Arial" w:cs="Arial"/>
          <w:color w:val="000000"/>
          <w:sz w:val="24"/>
          <w:szCs w:val="24"/>
          <w:lang w:val="en-US" w:eastAsia="zh-CN"/>
        </w:rPr>
        <w:t>3.</w:t>
      </w:r>
      <w:r>
        <w:rPr>
          <w:rFonts w:hint="default" w:ascii="Arial" w:hAnsi="Arial" w:cs="Arial"/>
          <w:color w:val="000000"/>
          <w:sz w:val="24"/>
          <w:szCs w:val="24"/>
          <w:lang w:val="en-US" w:eastAsia="zh-CN"/>
        </w:rPr>
        <w:t xml:space="preserve">Moderate dispersibility; dilution before use is highly recommended if conditions permit, and </w:t>
      </w:r>
      <w:r>
        <w:rPr>
          <w:rFonts w:hint="default" w:ascii="Arial" w:hAnsi="Arial" w:cs="Arial"/>
          <w:color w:val="000000"/>
          <w:sz w:val="24"/>
          <w:szCs w:val="24"/>
        </w:rPr>
        <w:t>water-based solvents can be used for dilution.</w:t>
      </w:r>
    </w:p>
    <w:p w14:paraId="4ADD5E0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Notes</w:t>
      </w:r>
    </w:p>
    <w:p w14:paraId="45B7351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Associative thickening is affected by temperature: viscosity is higher at low temperatures and lower at high temperatures. Temperature conditions should be taken into account when designing the formulation.</w:t>
      </w:r>
    </w:p>
    <w:p w14:paraId="3977983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default" w:ascii="Arial" w:hAnsi="Arial" w:cs="Arial"/>
          <w:color w:val="000000"/>
          <w:sz w:val="24"/>
          <w:szCs w:val="24"/>
        </w:rPr>
        <w:t>Re-test shall be conducted when the batch of thickened raw materials is changed to confirm the dosage of the thickener.</w:t>
      </w:r>
    </w:p>
    <w:p w14:paraId="42EC62E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3.</w:t>
      </w:r>
      <w:r>
        <w:rPr>
          <w:rFonts w:hint="default" w:ascii="Arial" w:hAnsi="Arial" w:cs="Arial"/>
          <w:color w:val="000000"/>
          <w:sz w:val="24"/>
          <w:szCs w:val="24"/>
        </w:rPr>
        <w:t>This product may crystallize at low temperatures, and crystallization does not affect product performance. If crystallization occurs, heat the product to melt the crystals before use.</w:t>
      </w:r>
    </w:p>
    <w:p w14:paraId="5FD26C6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Storage and Shelf Life</w:t>
      </w:r>
    </w:p>
    <w:p w14:paraId="4EAFE65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1.</w:t>
      </w:r>
      <w:r>
        <w:rPr>
          <w:rFonts w:hint="default" w:ascii="Arial" w:hAnsi="Arial" w:cs="Arial"/>
          <w:color w:val="000000"/>
          <w:sz w:val="24"/>
          <w:szCs w:val="24"/>
        </w:rPr>
        <w:t>Store in the original sealed container;</w:t>
      </w:r>
    </w:p>
    <w:p w14:paraId="19927C6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2.</w:t>
      </w:r>
      <w:r>
        <w:rPr>
          <w:rFonts w:hint="default" w:ascii="Arial" w:hAnsi="Arial" w:cs="Arial"/>
          <w:color w:val="000000"/>
          <w:sz w:val="24"/>
          <w:szCs w:val="24"/>
        </w:rPr>
        <w:t>Recommended storage temperature: 6-28℃;</w:t>
      </w:r>
    </w:p>
    <w:p w14:paraId="57CE7D8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3.</w:t>
      </w:r>
      <w:r>
        <w:rPr>
          <w:rFonts w:hint="default" w:ascii="Arial" w:hAnsi="Arial" w:cs="Arial"/>
          <w:color w:val="000000"/>
          <w:sz w:val="24"/>
          <w:szCs w:val="24"/>
        </w:rPr>
        <w:t>Must be used up within 12 months from the date of production;</w:t>
      </w:r>
    </w:p>
    <w:p w14:paraId="30CD267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cs="Arial"/>
          <w:color w:val="000000"/>
          <w:sz w:val="24"/>
          <w:szCs w:val="24"/>
        </w:rPr>
      </w:pPr>
      <w:r>
        <w:rPr>
          <w:rFonts w:hint="eastAsia" w:ascii="Arial" w:hAnsi="Arial" w:cs="Arial"/>
          <w:color w:val="000000"/>
          <w:sz w:val="24"/>
          <w:szCs w:val="24"/>
          <w:lang w:val="en-US" w:eastAsia="zh-CN"/>
        </w:rPr>
        <w:t>4.</w:t>
      </w:r>
      <w:r>
        <w:rPr>
          <w:rFonts w:hint="default" w:ascii="Arial" w:hAnsi="Arial" w:cs="Arial"/>
          <w:color w:val="000000"/>
          <w:sz w:val="24"/>
          <w:szCs w:val="24"/>
        </w:rPr>
        <w:t>Avoid direct sunlight and contamination by other substances.</w:t>
      </w:r>
    </w:p>
    <w:p w14:paraId="56D83D4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Packaging</w:t>
      </w:r>
    </w:p>
    <w:p w14:paraId="485883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Available in 50kg, 125kg and IBC ton drum packaging; customized packaging can be provided according to customer requirements.</w:t>
      </w:r>
    </w:p>
    <w:p w14:paraId="3FC4C364">
      <w:pPr>
        <w:tabs>
          <w:tab w:val="left" w:pos="720"/>
          <w:tab w:val="left" w:pos="1980"/>
        </w:tabs>
        <w:spacing w:line="360" w:lineRule="auto"/>
        <w:rPr>
          <w:rFonts w:hint="default" w:ascii="Arial" w:hAnsi="Arial" w:eastAsia="微软雅黑" w:cs="Arial"/>
          <w:spacing w:val="-4"/>
          <w:sz w:val="24"/>
        </w:rPr>
      </w:pPr>
    </w:p>
    <w:tbl>
      <w:tblPr>
        <w:tblStyle w:val="8"/>
        <w:tblpPr w:leftFromText="180" w:rightFromText="180" w:vertAnchor="page" w:horzAnchor="page" w:tblpX="1542" w:tblpY="1287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34A0D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31300987">
            <w:pPr>
              <w:spacing w:line="360" w:lineRule="auto"/>
              <w:ind w:firstLine="480" w:firstLineChars="200"/>
              <w:rPr>
                <w:rFonts w:hint="default" w:ascii="Arial" w:hAnsi="Arial" w:eastAsia="微软雅黑" w:cs="Arial"/>
                <w:b/>
                <w:bCs/>
                <w:sz w:val="24"/>
              </w:rPr>
            </w:pPr>
            <w:r>
              <w:rPr>
                <w:rFonts w:hint="default" w:ascii="Arial" w:hAnsi="Arial" w:cs="Arial"/>
                <w:color w:val="000000"/>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400B3746">
      <w:pPr>
        <w:pStyle w:val="10"/>
        <w:rPr>
          <w:rFonts w:hint="default" w:ascii="Arial" w:hAnsi="Arial" w:eastAsia="微软雅黑" w:cs="Arial"/>
          <w:b/>
          <w:bCs/>
        </w:rPr>
      </w:pPr>
    </w:p>
    <w:sectPr>
      <w:headerReference r:id="rId3" w:type="default"/>
      <w:footerReference r:id="rId4" w:type="default"/>
      <w:type w:val="continuous"/>
      <w:pgSz w:w="11906" w:h="16838"/>
      <w:pgMar w:top="850" w:right="1417" w:bottom="850" w:left="1417" w:header="851" w:footer="992"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B36A7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1312"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903F90">
                          <w:pPr>
                            <w:pStyle w:val="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1312;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3C903F90">
                    <w:pPr>
                      <w:pStyle w:val="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A1D2A">
    <w:pPr>
      <w:pStyle w:val="6"/>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margin">
                <wp:posOffset>3888740</wp:posOffset>
              </wp:positionH>
              <wp:positionV relativeFrom="paragraph">
                <wp:posOffset>120650</wp:posOffset>
              </wp:positionV>
              <wp:extent cx="2125345" cy="47498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125531" cy="474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8FD5D5">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HEUR-540E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6.2pt;margin-top:9.5pt;height:37.4pt;width:167.35pt;mso-position-horizontal-relative:margin;z-index:251659264;mso-width-relative:page;mso-height-relative:page;" filled="f" stroked="f" coordsize="21600,21600" o:gfxdata="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&#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Bm5PuvaAAAACQEAAA8AAAAAAAAAAQAgAAAAIgAAAGRy&#10;cy9kb3ducmV2LnhtbFBLAQIUABQAAAAIAIdO4kCHXbYRPAIAAGYEAAAOAAAAAAAAAAEAIAAAACkB&#10;AABkcnMvZTJvRG9jLnhtbFBLBQYAAAAABgAGAFkBAADXBQAAAAA=&#10;">
              <v:fill on="f" focussize="0,0"/>
              <v:stroke on="f" weight="0.5pt"/>
              <v:imagedata o:title=""/>
              <o:lock v:ext="edit" aspectratio="f"/>
              <v:textbox>
                <w:txbxContent>
                  <w:p w14:paraId="348FD5D5">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HEUR-540E</w:t>
                    </w:r>
                  </w:p>
                </w:txbxContent>
              </v:textbox>
            </v:shape>
          </w:pict>
        </mc:Fallback>
      </mc:AlternateContent>
    </w:r>
    <w:r>
      <w:rPr>
        <w:sz w:val="10"/>
      </w:rPr>
      <mc:AlternateContent>
        <mc:Choice Requires="wps">
          <w:drawing>
            <wp:anchor distT="0" distB="0" distL="114300" distR="114300" simplePos="0" relativeHeight="251660288" behindDoc="0" locked="0" layoutInCell="1" allowOverlap="1">
              <wp:simplePos x="0" y="0"/>
              <wp:positionH relativeFrom="margin">
                <wp:posOffset>3601085</wp:posOffset>
              </wp:positionH>
              <wp:positionV relativeFrom="paragraph">
                <wp:posOffset>539750</wp:posOffset>
              </wp:positionV>
              <wp:extent cx="1828800" cy="34798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347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DE0DC7">
                          <w:pPr>
                            <w:jc w:val="center"/>
                            <w:rPr>
                              <w:rFonts w:hint="eastAsia"/>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3.55pt;margin-top:42.5pt;height:27.4pt;width:144pt;mso-position-horizontal-relative:margin;mso-wrap-style:none;z-index:251660288;mso-width-relative:page;mso-height-relative:page;" filled="f" stroked="f" coordsize="21600,21600" o:gfxdata="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i3Qn2dsAAAAKAQAADwAAAAAAAAABACAAAAAiAAAAZHJz&#10;L2Rvd25yZXYueG1sUEsBAhQAFAAAAAgAh07iQKdJ+x46AgAAZAQAAA4AAAAAAAAAAQAgAAAAKgEA&#10;AGRycy9lMm9Eb2MueG1sUEsFBgAAAAAGAAYAWQEAANYFAAAAAA==&#10;">
              <v:fill on="f" focussize="0,0"/>
              <v:stroke on="f" weight="0.5pt"/>
              <v:imagedata o:title=""/>
              <o:lock v:ext="edit" aspectratio="f"/>
              <v:textbox>
                <w:txbxContent>
                  <w:p w14:paraId="26DE0DC7">
                    <w:pPr>
                      <w:jc w:val="center"/>
                      <w:rPr>
                        <w:rFonts w:hint="eastAsia"/>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txbxContent>
              </v:textbox>
            </v:shape>
          </w:pict>
        </mc:Fallback>
      </mc:AlternateContent>
    </w:r>
    <w:r>
      <w:rPr>
        <w:sz w:val="10"/>
        <w:szCs w:val="10"/>
      </w:rPr>
      <w:drawing>
        <wp:inline distT="0" distB="0" distL="0" distR="0">
          <wp:extent cx="773430" cy="877570"/>
          <wp:effectExtent l="0" t="0" r="7620" b="1778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0059BA"/>
    <w:rsid w:val="0004443A"/>
    <w:rsid w:val="00136635"/>
    <w:rsid w:val="00156019"/>
    <w:rsid w:val="00200121"/>
    <w:rsid w:val="00264EA8"/>
    <w:rsid w:val="00296707"/>
    <w:rsid w:val="002F6D5B"/>
    <w:rsid w:val="003550AC"/>
    <w:rsid w:val="003B16AF"/>
    <w:rsid w:val="003F48D2"/>
    <w:rsid w:val="00455912"/>
    <w:rsid w:val="00505831"/>
    <w:rsid w:val="00527365"/>
    <w:rsid w:val="00596990"/>
    <w:rsid w:val="005C2BEF"/>
    <w:rsid w:val="005D2EFD"/>
    <w:rsid w:val="005F3A93"/>
    <w:rsid w:val="00745562"/>
    <w:rsid w:val="00776084"/>
    <w:rsid w:val="00867CB0"/>
    <w:rsid w:val="00870BD4"/>
    <w:rsid w:val="00912B14"/>
    <w:rsid w:val="00942B6C"/>
    <w:rsid w:val="0097112D"/>
    <w:rsid w:val="00A840FC"/>
    <w:rsid w:val="00B829A2"/>
    <w:rsid w:val="00CB1423"/>
    <w:rsid w:val="00CE110F"/>
    <w:rsid w:val="00D33741"/>
    <w:rsid w:val="00D55D1D"/>
    <w:rsid w:val="00DC5292"/>
    <w:rsid w:val="00E64056"/>
    <w:rsid w:val="00EB567E"/>
    <w:rsid w:val="00F02A8D"/>
    <w:rsid w:val="00F253D2"/>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634F0"/>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654F0F"/>
    <w:rsid w:val="10AB3168"/>
    <w:rsid w:val="111904EE"/>
    <w:rsid w:val="112B531D"/>
    <w:rsid w:val="11D21C07"/>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68D490F"/>
    <w:rsid w:val="177D4274"/>
    <w:rsid w:val="181E4B7E"/>
    <w:rsid w:val="184719C8"/>
    <w:rsid w:val="190855FC"/>
    <w:rsid w:val="19145D4E"/>
    <w:rsid w:val="1962594A"/>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487D6F"/>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7F0126B"/>
    <w:rsid w:val="58613E05"/>
    <w:rsid w:val="5886047F"/>
    <w:rsid w:val="58951D01"/>
    <w:rsid w:val="59975605"/>
    <w:rsid w:val="5C1827CF"/>
    <w:rsid w:val="5CAC0BE1"/>
    <w:rsid w:val="5D3E405D"/>
    <w:rsid w:val="5D4B0BE0"/>
    <w:rsid w:val="5D5C4B9B"/>
    <w:rsid w:val="5DA90B12"/>
    <w:rsid w:val="5E161FB4"/>
    <w:rsid w:val="5F897FFB"/>
    <w:rsid w:val="5F907132"/>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 w:type="character" w:customStyle="1" w:styleId="11">
    <w:name w:val="标题 1 字符"/>
    <w:basedOn w:val="9"/>
    <w:link w:val="2"/>
    <w:qFormat/>
    <w:uiPriority w:val="9"/>
    <w:rPr>
      <w:rFonts w:ascii="宋体" w:hAnsi="宋体" w:cs="宋体"/>
      <w:b/>
      <w:bCs/>
      <w:kern w:val="36"/>
      <w:sz w:val="48"/>
      <w:szCs w:val="4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390</Words>
  <Characters>2409</Characters>
  <Lines>5</Lines>
  <Paragraphs>1</Paragraphs>
  <TotalTime>0</TotalTime>
  <ScaleCrop>false</ScaleCrop>
  <LinksUpToDate>false</LinksUpToDate>
  <CharactersWithSpaces>2761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2025-03-27T02:54:00Z</dcterms:created>
  <dc:creator>Davis</dc:creator>
  <cp:lastModifiedBy>戴眼镜的麻杆。</cp:lastModifiedBy>
  <cp:lastPrinted>2024-06-20T10:29:00Z</cp:lastPrinted>
  <dcterms:modified xsi:type="dcterms:W3CDTF">2026-04-20T07:11:00Z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E0FC353501D44E1F86F3F75B78629486_13</vt:lpwstr>
  </property>
  <property fmtid="{D5CDD505-2E9C-101B-9397-08002B2CF9AE}" pid="4" name="KSOTemplateDocerSaveRecord">
    <vt:lpwstr>eyJoZGlkIjoiN2FkMmFjNTIzYTc2MzM4YzI5MjhhZjFlYzFlYTkyNWUiLCJ1c2VySWQiOiIxMTk5MzAzNjYzIn0=</vt:lpwstr>
  </property>
</Properties>
</file>