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2A459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2"/>
          <w:szCs w:val="32"/>
        </w:rPr>
      </w:pPr>
      <w:r>
        <w:rPr>
          <w:rFonts w:hint="default" w:ascii="Arial" w:hAnsi="Arial" w:cs="Arial"/>
          <w:color w:val="000000"/>
          <w:sz w:val="32"/>
          <w:szCs w:val="32"/>
          <w:bdr w:val="none" w:color="auto" w:sz="0" w:space="0"/>
        </w:rPr>
        <w:t>Product Technical Specification</w:t>
      </w:r>
    </w:p>
    <w:p w14:paraId="549B490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Introduction</w:t>
      </w:r>
    </w:p>
    <w:p w14:paraId="6FEF49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CN-901 is an anionic waterborne polyurethane resin. It is a waterborne polyurethane emulsion with high wear resistance, wash resistance, high gloss and good adhesion. It features moderate film softness, high strength and good toughness, and is a high-performance emulsion specially designed for difficult-to-adhere substrates.</w:t>
      </w:r>
    </w:p>
    <w:p w14:paraId="4DCC98B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4"/>
          <w:szCs w:val="24"/>
          <w:bdr w:val="none" w:color="auto" w:sz="0" w:space="0"/>
        </w:rPr>
      </w:pPr>
    </w:p>
    <w:p w14:paraId="55E9312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Features</w:t>
      </w:r>
    </w:p>
    <w:p w14:paraId="40D10322">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Small and uniformly distributed emulsion particle size, strong adsorption to fabrics, high crosslink density, and excellent water resistance.</w:t>
      </w:r>
    </w:p>
    <w:p w14:paraId="1106A52B">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Good leveling and rheological properties, high transparency, high gloss, excellent abrasion resistance and soaping fastness.</w:t>
      </w:r>
    </w:p>
    <w:p w14:paraId="1DE854A4">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Full film formation with moderate softness; good elasticity and softness maintained even at low temperatures.</w:t>
      </w:r>
    </w:p>
    <w:p w14:paraId="4573C927">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Good cold resistance.</w:t>
      </w:r>
    </w:p>
    <w:p w14:paraId="213DC718">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Excellent adhesion to PE/HDPE filament bonding, superior to similar products on the market.</w:t>
      </w:r>
    </w:p>
    <w:p w14:paraId="0BCFE34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2"/>
          <w:szCs w:val="22"/>
          <w:bdr w:val="none" w:color="auto" w:sz="0" w:space="0"/>
        </w:rPr>
      </w:pPr>
    </w:p>
    <w:p w14:paraId="5C8188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Technical Parameters*</w:t>
      </w:r>
    </w:p>
    <w:tbl>
      <w:tblPr>
        <w:tblStyle w:val="6"/>
        <w:tblW w:w="9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3"/>
        <w:gridCol w:w="2695"/>
        <w:gridCol w:w="1119"/>
        <w:gridCol w:w="2860"/>
      </w:tblGrid>
      <w:tr w14:paraId="6AA2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left w:val="nil"/>
              <w:bottom w:val="nil"/>
              <w:right w:val="nil"/>
            </w:tcBorders>
            <w:vAlign w:val="center"/>
          </w:tcPr>
          <w:p w14:paraId="0A1B16E5">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Item</w:t>
            </w:r>
          </w:p>
        </w:tc>
        <w:tc>
          <w:tcPr>
            <w:tcW w:w="0" w:type="auto"/>
            <w:tcBorders>
              <w:top w:val="single" w:color="auto" w:sz="4" w:space="0"/>
              <w:left w:val="nil"/>
              <w:bottom w:val="nil"/>
              <w:right w:val="nil"/>
            </w:tcBorders>
            <w:vAlign w:val="center"/>
          </w:tcPr>
          <w:p w14:paraId="4C49F75A">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Parameter</w:t>
            </w:r>
          </w:p>
        </w:tc>
        <w:tc>
          <w:tcPr>
            <w:tcW w:w="0" w:type="auto"/>
            <w:tcBorders>
              <w:top w:val="single" w:color="auto" w:sz="4" w:space="0"/>
              <w:left w:val="nil"/>
              <w:bottom w:val="nil"/>
              <w:right w:val="nil"/>
            </w:tcBorders>
            <w:vAlign w:val="center"/>
          </w:tcPr>
          <w:p w14:paraId="4CA31F52">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Unit</w:t>
            </w:r>
          </w:p>
        </w:tc>
        <w:tc>
          <w:tcPr>
            <w:tcW w:w="0" w:type="auto"/>
            <w:tcBorders>
              <w:top w:val="single" w:color="auto" w:sz="4" w:space="0"/>
              <w:left w:val="nil"/>
              <w:bottom w:val="nil"/>
              <w:right w:val="nil"/>
            </w:tcBorders>
            <w:vAlign w:val="center"/>
          </w:tcPr>
          <w:p w14:paraId="28F56EA6">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Test Method</w:t>
            </w:r>
          </w:p>
        </w:tc>
      </w:tr>
      <w:tr w14:paraId="0CC49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left w:val="nil"/>
              <w:bottom w:val="nil"/>
              <w:right w:val="nil"/>
            </w:tcBorders>
            <w:vAlign w:val="center"/>
          </w:tcPr>
          <w:p w14:paraId="79D4409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Appearance</w:t>
            </w:r>
          </w:p>
        </w:tc>
        <w:tc>
          <w:tcPr>
            <w:tcW w:w="0" w:type="auto"/>
            <w:tcBorders>
              <w:top w:val="single" w:color="auto" w:sz="4" w:space="0"/>
              <w:left w:val="nil"/>
              <w:bottom w:val="nil"/>
              <w:right w:val="nil"/>
            </w:tcBorders>
            <w:vAlign w:val="center"/>
          </w:tcPr>
          <w:p w14:paraId="5EBE8A70">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Clear watery liquid</w:t>
            </w:r>
          </w:p>
        </w:tc>
        <w:tc>
          <w:tcPr>
            <w:tcW w:w="0" w:type="auto"/>
            <w:tcBorders>
              <w:top w:val="single" w:color="auto" w:sz="4" w:space="0"/>
              <w:left w:val="nil"/>
              <w:bottom w:val="nil"/>
              <w:right w:val="nil"/>
            </w:tcBorders>
            <w:vAlign w:val="center"/>
          </w:tcPr>
          <w:p w14:paraId="4ED1E3B2">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0" w:type="auto"/>
            <w:tcBorders>
              <w:top w:val="single" w:color="auto" w:sz="4" w:space="0"/>
              <w:left w:val="nil"/>
              <w:bottom w:val="nil"/>
              <w:right w:val="nil"/>
            </w:tcBorders>
            <w:vAlign w:val="center"/>
          </w:tcPr>
          <w:p w14:paraId="65190AE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14074.1-1993</w:t>
            </w:r>
          </w:p>
        </w:tc>
      </w:tr>
      <w:tr w14:paraId="570A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nil"/>
              <w:left w:val="nil"/>
              <w:bottom w:val="nil"/>
              <w:right w:val="nil"/>
            </w:tcBorders>
            <w:vAlign w:val="center"/>
          </w:tcPr>
          <w:p w14:paraId="6D16DE96">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Solid Content</w:t>
            </w:r>
          </w:p>
        </w:tc>
        <w:tc>
          <w:tcPr>
            <w:tcW w:w="0" w:type="auto"/>
            <w:tcBorders>
              <w:top w:val="nil"/>
              <w:left w:val="nil"/>
              <w:bottom w:val="nil"/>
              <w:right w:val="nil"/>
            </w:tcBorders>
            <w:vAlign w:val="center"/>
          </w:tcPr>
          <w:p w14:paraId="21660B6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30.00±1.00</w:t>
            </w:r>
          </w:p>
        </w:tc>
        <w:tc>
          <w:tcPr>
            <w:tcW w:w="0" w:type="auto"/>
            <w:tcBorders>
              <w:top w:val="nil"/>
              <w:left w:val="nil"/>
              <w:bottom w:val="nil"/>
              <w:right w:val="nil"/>
            </w:tcBorders>
            <w:vAlign w:val="center"/>
          </w:tcPr>
          <w:p w14:paraId="62D0C323">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0" w:type="auto"/>
            <w:tcBorders>
              <w:top w:val="nil"/>
              <w:left w:val="nil"/>
              <w:bottom w:val="nil"/>
              <w:right w:val="nil"/>
            </w:tcBorders>
            <w:vAlign w:val="center"/>
          </w:tcPr>
          <w:p w14:paraId="7DDB098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2793-1995</w:t>
            </w:r>
          </w:p>
        </w:tc>
      </w:tr>
      <w:tr w14:paraId="515F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nil"/>
              <w:left w:val="nil"/>
              <w:bottom w:val="nil"/>
              <w:right w:val="nil"/>
            </w:tcBorders>
            <w:vAlign w:val="center"/>
          </w:tcPr>
          <w:p w14:paraId="43FA0180">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Viscosity</w:t>
            </w:r>
          </w:p>
        </w:tc>
        <w:tc>
          <w:tcPr>
            <w:tcW w:w="0" w:type="auto"/>
            <w:tcBorders>
              <w:top w:val="nil"/>
              <w:left w:val="nil"/>
              <w:bottom w:val="nil"/>
              <w:right w:val="nil"/>
            </w:tcBorders>
            <w:vAlign w:val="center"/>
          </w:tcPr>
          <w:p w14:paraId="69186F9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&gt;10.0</w:t>
            </w:r>
          </w:p>
        </w:tc>
        <w:tc>
          <w:tcPr>
            <w:tcW w:w="0" w:type="auto"/>
            <w:tcBorders>
              <w:top w:val="nil"/>
              <w:left w:val="nil"/>
              <w:bottom w:val="nil"/>
              <w:right w:val="nil"/>
            </w:tcBorders>
            <w:vAlign w:val="center"/>
          </w:tcPr>
          <w:p w14:paraId="697E5A8F">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mPa·s</w:t>
            </w:r>
          </w:p>
        </w:tc>
        <w:tc>
          <w:tcPr>
            <w:tcW w:w="0" w:type="auto"/>
            <w:tcBorders>
              <w:top w:val="nil"/>
              <w:left w:val="nil"/>
              <w:bottom w:val="nil"/>
              <w:right w:val="nil"/>
            </w:tcBorders>
            <w:vAlign w:val="center"/>
          </w:tcPr>
          <w:p w14:paraId="2F65043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10247-1998</w:t>
            </w:r>
          </w:p>
        </w:tc>
      </w:tr>
      <w:tr w14:paraId="69D9E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nil"/>
              <w:left w:val="nil"/>
              <w:bottom w:val="nil"/>
              <w:right w:val="nil"/>
            </w:tcBorders>
            <w:vAlign w:val="center"/>
          </w:tcPr>
          <w:p w14:paraId="48784D47">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pH</w:t>
            </w:r>
          </w:p>
        </w:tc>
        <w:tc>
          <w:tcPr>
            <w:tcW w:w="0" w:type="auto"/>
            <w:tcBorders>
              <w:top w:val="nil"/>
              <w:left w:val="nil"/>
              <w:bottom w:val="nil"/>
              <w:right w:val="nil"/>
            </w:tcBorders>
            <w:vAlign w:val="center"/>
          </w:tcPr>
          <w:p w14:paraId="4A3978B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6.0–9.0</w:t>
            </w:r>
          </w:p>
        </w:tc>
        <w:tc>
          <w:tcPr>
            <w:tcW w:w="0" w:type="auto"/>
            <w:tcBorders>
              <w:top w:val="nil"/>
              <w:left w:val="nil"/>
              <w:bottom w:val="nil"/>
              <w:right w:val="nil"/>
            </w:tcBorders>
            <w:vAlign w:val="center"/>
          </w:tcPr>
          <w:p w14:paraId="19D972E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0" w:type="auto"/>
            <w:tcBorders>
              <w:top w:val="nil"/>
              <w:left w:val="nil"/>
              <w:bottom w:val="nil"/>
              <w:right w:val="nil"/>
            </w:tcBorders>
            <w:vAlign w:val="center"/>
          </w:tcPr>
          <w:p w14:paraId="4619E102">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14518-1993</w:t>
            </w:r>
          </w:p>
        </w:tc>
      </w:tr>
      <w:tr w14:paraId="1EC51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nil"/>
              <w:left w:val="nil"/>
              <w:bottom w:val="nil"/>
              <w:right w:val="nil"/>
            </w:tcBorders>
            <w:vAlign w:val="center"/>
          </w:tcPr>
          <w:p w14:paraId="66D0E549">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Elongation at Break</w:t>
            </w:r>
          </w:p>
        </w:tc>
        <w:tc>
          <w:tcPr>
            <w:tcW w:w="0" w:type="auto"/>
            <w:tcBorders>
              <w:top w:val="nil"/>
              <w:left w:val="nil"/>
              <w:bottom w:val="nil"/>
              <w:right w:val="nil"/>
            </w:tcBorders>
            <w:vAlign w:val="center"/>
          </w:tcPr>
          <w:p w14:paraId="76F9125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750</w:t>
            </w:r>
          </w:p>
        </w:tc>
        <w:tc>
          <w:tcPr>
            <w:tcW w:w="0" w:type="auto"/>
            <w:tcBorders>
              <w:top w:val="nil"/>
              <w:left w:val="nil"/>
              <w:bottom w:val="nil"/>
              <w:right w:val="nil"/>
            </w:tcBorders>
            <w:vAlign w:val="center"/>
          </w:tcPr>
          <w:p w14:paraId="4C42426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0" w:type="auto"/>
            <w:tcBorders>
              <w:top w:val="nil"/>
              <w:left w:val="nil"/>
              <w:bottom w:val="nil"/>
              <w:right w:val="nil"/>
            </w:tcBorders>
            <w:vAlign w:val="center"/>
          </w:tcPr>
          <w:p w14:paraId="24F9D09E">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0E2E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tcBorders>
              <w:top w:val="nil"/>
              <w:left w:val="nil"/>
              <w:right w:val="nil"/>
            </w:tcBorders>
            <w:vAlign w:val="center"/>
          </w:tcPr>
          <w:p w14:paraId="096438F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Tensile Strength</w:t>
            </w:r>
          </w:p>
        </w:tc>
        <w:tc>
          <w:tcPr>
            <w:tcW w:w="0" w:type="auto"/>
            <w:tcBorders>
              <w:top w:val="nil"/>
              <w:left w:val="nil"/>
              <w:right w:val="nil"/>
            </w:tcBorders>
            <w:vAlign w:val="center"/>
          </w:tcPr>
          <w:p w14:paraId="64EAC5A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40.0–45.0</w:t>
            </w:r>
          </w:p>
        </w:tc>
        <w:tc>
          <w:tcPr>
            <w:tcW w:w="0" w:type="auto"/>
            <w:tcBorders>
              <w:top w:val="nil"/>
              <w:left w:val="nil"/>
              <w:right w:val="nil"/>
            </w:tcBorders>
            <w:vAlign w:val="center"/>
          </w:tcPr>
          <w:p w14:paraId="1DAD9B0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0" w:type="auto"/>
            <w:tcBorders>
              <w:top w:val="nil"/>
              <w:left w:val="nil"/>
              <w:right w:val="nil"/>
            </w:tcBorders>
            <w:vAlign w:val="center"/>
          </w:tcPr>
          <w:p w14:paraId="2820D241">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bl>
    <w:p w14:paraId="5B8B96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*The above parameters represent typical results only and shall not be regarded as specifications. Refer to the actual COA for details.</w:t>
      </w:r>
    </w:p>
    <w:p w14:paraId="4D1B5AA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4"/>
          <w:szCs w:val="24"/>
          <w:bdr w:val="none" w:color="auto" w:sz="0" w:space="0"/>
        </w:rPr>
      </w:pPr>
    </w:p>
    <w:p w14:paraId="78F3FC1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Storage</w:t>
      </w:r>
    </w:p>
    <w:p w14:paraId="6D0BC60A">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Store in the original sealed container.</w:t>
      </w:r>
    </w:p>
    <w:p w14:paraId="63B26765">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Recommended storage temperature: 6–28 °C.</w:t>
      </w:r>
    </w:p>
    <w:p w14:paraId="1A1DC718">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Use within 6 months from the production date.</w:t>
      </w:r>
    </w:p>
    <w:p w14:paraId="28A736FA">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425" w:leftChars="0" w:right="0" w:rightChars="0" w:hanging="425" w:firstLineChars="0"/>
        <w:jc w:val="left"/>
        <w:rPr>
          <w:rFonts w:hint="default" w:ascii="Arial" w:hAnsi="Arial" w:cs="Arial"/>
          <w:color w:val="000000"/>
          <w:sz w:val="24"/>
          <w:szCs w:val="24"/>
        </w:rPr>
      </w:pPr>
      <w:r>
        <w:rPr>
          <w:rFonts w:hint="default" w:ascii="Arial" w:hAnsi="Arial" w:cs="Arial"/>
          <w:color w:val="000000"/>
          <w:sz w:val="24"/>
          <w:szCs w:val="24"/>
          <w:bdr w:val="none" w:color="auto" w:sz="0" w:space="0"/>
        </w:rPr>
        <w:t>Avoid direct sunlight and contamination by other substances.</w:t>
      </w:r>
    </w:p>
    <w:p w14:paraId="5D20232D">
      <w:pPr>
        <w:spacing w:line="360" w:lineRule="auto"/>
        <w:ind w:firstLine="480"/>
        <w:rPr>
          <w:rFonts w:hint="default" w:ascii="Arial" w:hAnsi="Arial" w:eastAsia="微软雅黑" w:cs="Arial"/>
          <w:sz w:val="24"/>
          <w:szCs w:val="24"/>
        </w:rPr>
      </w:pPr>
    </w:p>
    <w:tbl>
      <w:tblPr>
        <w:tblStyle w:val="7"/>
        <w:tblpPr w:leftFromText="180" w:rightFromText="180" w:vertAnchor="text" w:horzAnchor="page" w:tblpX="1444" w:tblpY="60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9"/>
      </w:tblGrid>
      <w:tr w14:paraId="2FA36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9" w:type="dxa"/>
            <w:tcBorders>
              <w:left w:val="nil"/>
              <w:bottom w:val="nil"/>
              <w:right w:val="nil"/>
            </w:tcBorders>
          </w:tcPr>
          <w:p w14:paraId="4B07C176">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sz w:val="24"/>
                <w:szCs w:val="24"/>
              </w:rPr>
            </w:pPr>
            <w:r>
              <w:rPr>
                <w:rFonts w:hint="default" w:ascii="Arial" w:hAnsi="Arial" w:eastAsia="宋体" w:cs="Arial"/>
                <w:sz w:val="24"/>
                <w:szCs w:val="24"/>
              </w:rPr>
              <w:t>Prolonged storage at low temperatures may cause irreversible damage to the product. Keep the container sealed; otherwise, water evaporation will form an insoluble polymer film on the surface. Expiration of the 6-month shelf life does not mean the product is out of specification. Test before use to verify compliance with specifications and technical parameters.</w:t>
            </w:r>
          </w:p>
        </w:tc>
      </w:tr>
    </w:tbl>
    <w:p w14:paraId="29752C64">
      <w:pPr>
        <w:spacing w:line="360" w:lineRule="auto"/>
        <w:rPr>
          <w:rFonts w:hint="default" w:ascii="Arial" w:hAnsi="Arial" w:eastAsia="微软雅黑" w:cs="Arial"/>
          <w:b/>
          <w:bCs/>
          <w:sz w:val="24"/>
          <w:szCs w:val="24"/>
        </w:rPr>
      </w:pPr>
    </w:p>
    <w:p w14:paraId="29942EE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4"/>
          <w:szCs w:val="24"/>
          <w:bdr w:val="none" w:color="auto" w:sz="0" w:space="0"/>
        </w:rPr>
      </w:pPr>
    </w:p>
    <w:p w14:paraId="0776722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Precautions</w:t>
      </w:r>
    </w:p>
    <w:p w14:paraId="598A22B9">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Adding a curing agent can improve fastness but may affect hand feel.</w:t>
      </w:r>
    </w:p>
    <w:p w14:paraId="2A4D7FE3">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Waterborne resin added with crosslinking agent must be used within 24 hours.</w:t>
      </w:r>
    </w:p>
    <w:p w14:paraId="07EFAED4">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Do not mix with other cationic resins.</w:t>
      </w:r>
    </w:p>
    <w:p w14:paraId="67377972">
      <w:pPr>
        <w:keepNext w:val="0"/>
        <w:keepLines w:val="0"/>
        <w:pageBreakBefore w:val="0"/>
        <w:tabs>
          <w:tab w:val="left" w:pos="720"/>
          <w:tab w:val="left" w:pos="1980"/>
        </w:tabs>
        <w:kinsoku/>
        <w:wordWrap/>
        <w:overflowPunct/>
        <w:topLinePunct w:val="0"/>
        <w:autoSpaceDE/>
        <w:autoSpaceDN/>
        <w:bidi w:val="0"/>
        <w:adjustRightInd/>
        <w:snapToGrid/>
        <w:spacing w:line="400" w:lineRule="exact"/>
        <w:ind w:left="420" w:leftChars="200" w:firstLine="232" w:firstLineChars="100"/>
        <w:textAlignment w:val="auto"/>
        <w:rPr>
          <w:rFonts w:hint="default" w:ascii="Arial" w:hAnsi="Arial" w:eastAsia="微软雅黑" w:cs="Arial"/>
          <w:spacing w:val="-4"/>
          <w:sz w:val="24"/>
          <w:szCs w:val="24"/>
        </w:rPr>
      </w:pPr>
    </w:p>
    <w:p w14:paraId="563B0419">
      <w:pPr>
        <w:tabs>
          <w:tab w:val="left" w:pos="921"/>
        </w:tabs>
        <w:spacing w:line="360" w:lineRule="auto"/>
        <w:rPr>
          <w:rFonts w:hint="default" w:ascii="Arial" w:hAnsi="Arial" w:eastAsia="微软雅黑" w:cs="Arial"/>
          <w:b/>
          <w:bCs/>
          <w:sz w:val="24"/>
          <w:szCs w:val="24"/>
        </w:rPr>
      </w:pPr>
    </w:p>
    <w:p w14:paraId="06BC6B3A">
      <w:pPr>
        <w:tabs>
          <w:tab w:val="left" w:pos="921"/>
        </w:tabs>
        <w:spacing w:line="360" w:lineRule="auto"/>
        <w:rPr>
          <w:rFonts w:hint="default" w:ascii="Arial" w:hAnsi="Arial" w:eastAsia="微软雅黑" w:cs="Arial"/>
          <w:b/>
          <w:bCs/>
          <w:sz w:val="24"/>
          <w:szCs w:val="24"/>
        </w:rPr>
      </w:pPr>
    </w:p>
    <w:p w14:paraId="31190C53">
      <w:pPr>
        <w:spacing w:line="360" w:lineRule="auto"/>
        <w:rPr>
          <w:rFonts w:hint="default" w:ascii="Arial" w:hAnsi="Arial" w:eastAsia="微软雅黑" w:cs="Arial"/>
          <w:b/>
          <w:bCs/>
          <w:sz w:val="24"/>
          <w:szCs w:val="24"/>
        </w:rPr>
      </w:pPr>
    </w:p>
    <w:p w14:paraId="28FA8C71">
      <w:pPr>
        <w:spacing w:line="360" w:lineRule="auto"/>
        <w:rPr>
          <w:rFonts w:hint="default" w:ascii="Arial" w:hAnsi="Arial" w:eastAsia="微软雅黑" w:cs="Arial"/>
          <w:b/>
          <w:bCs/>
          <w:sz w:val="24"/>
          <w:szCs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79E4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2EEA9F0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b/>
                <w:bCs/>
                <w:sz w:val="24"/>
                <w:szCs w:val="24"/>
              </w:rPr>
            </w:pPr>
            <w:r>
              <w:rPr>
                <w:rFonts w:hint="default" w:ascii="Arial" w:hAnsi="Arial" w:eastAsia="宋体" w:cs="Arial"/>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03D4D515">
      <w:pPr>
        <w:spacing w:line="360" w:lineRule="auto"/>
        <w:rPr>
          <w:rFonts w:hint="default" w:ascii="Arial" w:hAnsi="Arial" w:eastAsia="微软雅黑" w:cs="Arial"/>
          <w:b/>
          <w:bCs/>
          <w:sz w:val="24"/>
          <w:szCs w:val="24"/>
        </w:rPr>
      </w:pPr>
    </w:p>
    <w:sectPr>
      <w:headerReference r:id="rId4" w:type="first"/>
      <w:footerReference r:id="rId6" w:type="first"/>
      <w:headerReference r:id="rId3" w:type="default"/>
      <w:footerReference r:id="rId5" w:type="default"/>
      <w:pgSz w:w="11906" w:h="16838"/>
      <w:pgMar w:top="850" w:right="1417" w:bottom="850" w:left="1417" w:header="851" w:footer="454"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5454">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1312"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1312;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51830">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5CF34">
    <w:pPr>
      <w:pStyle w:val="5"/>
      <w:rPr>
        <w:sz w:val="10"/>
        <w:szCs w:val="10"/>
      </w:rPr>
    </w:pPr>
    <w:r>
      <w:rPr>
        <w:sz w:val="10"/>
      </w:rPr>
      <mc:AlternateContent>
        <mc:Choice Requires="wps">
          <w:drawing>
            <wp:anchor distT="0" distB="0" distL="114300" distR="114300" simplePos="0" relativeHeight="251660288" behindDoc="0" locked="0" layoutInCell="1" allowOverlap="1">
              <wp:simplePos x="0" y="0"/>
              <wp:positionH relativeFrom="column">
                <wp:posOffset>4434840</wp:posOffset>
              </wp:positionH>
              <wp:positionV relativeFrom="paragraph">
                <wp:posOffset>1270</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CD6B">
                          <w:pPr>
                            <w:rPr>
                              <w:rFonts w:hint="default"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t>901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9.2pt;margin-top:0.1pt;height:48.75pt;width:125.75pt;z-index:251660288;mso-width-relative:page;mso-height-relative:page;" filled="f" stroked="f" coordsize="21600,21600" o:gfxdata="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AnnGNDYAAAABwEAAA8AAAAAAAAAAQAgAAAAIgAAAGRycy9k&#10;b3ducmV2LnhtbFBLAQIUABQAAAAIAIdO4kBIqARrOwIAAGYEAAAOAAAAAAAAAAEAIAAAACcBAABk&#10;cnMvZTJvRG9jLnhtbFBLBQYAAAAABgAGAFkBAADUBQAAAAA=&#10;">
              <v:fill on="f" focussize="0,0"/>
              <v:stroke on="f" weight="0.5pt"/>
              <v:imagedata o:title=""/>
              <o:lock v:ext="edit" aspectratio="f"/>
              <v:textbox>
                <w:txbxContent>
                  <w:p w14:paraId="2AA1CD6B">
                    <w:pPr>
                      <w:rPr>
                        <w:rFonts w:hint="default"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t>901</w:t>
                    </w:r>
                  </w:p>
                </w:txbxContent>
              </v:textbox>
            </v:shape>
          </w:pict>
        </mc:Fallback>
      </mc:AlternateContent>
    </w:r>
    <w:r>
      <w:rPr>
        <w:sz w:val="10"/>
      </w:rPr>
      <mc:AlternateContent>
        <mc:Choice Requires="wps">
          <w:drawing>
            <wp:anchor distT="0" distB="0" distL="114300" distR="114300" simplePos="0" relativeHeight="251662336" behindDoc="0" locked="0" layoutInCell="1" allowOverlap="1">
              <wp:simplePos x="0" y="0"/>
              <wp:positionH relativeFrom="column">
                <wp:posOffset>3618865</wp:posOffset>
              </wp:positionH>
              <wp:positionV relativeFrom="paragraph">
                <wp:posOffset>517525</wp:posOffset>
              </wp:positionV>
              <wp:extent cx="1828800" cy="37782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3778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77FE1">
                          <w:pPr>
                            <w:rPr>
                              <w:rFonts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4.95pt;margin-top:40.75pt;height:29.75pt;width:144pt;mso-wrap-style:none;z-index:251662336;mso-width-relative:page;mso-height-relative:page;" filled="f" stroked="f" coordsize="21600,21600" o:gfxdata="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QGF1dsAAAAKAQAADwAAAAAAAAABACAAAAAiAAAAZHJz&#10;L2Rvd25yZXYueG1sUEsBAhQAFAAAAAgAh07iQNhOK7A6AgAAZAQAAA4AAAAAAAAAAQAgAAAAKgEA&#10;AGRycy9lMm9Eb2MueG1sUEsFBgAAAAAGAAYAWQEAANYFAAAAAA==&#10;">
              <v:fill on="f" focussize="0,0"/>
              <v:stroke on="f" weight="0.5pt"/>
              <v:imagedata o:title=""/>
              <o:lock v:ext="edit" aspectratio="f"/>
              <v:textbox>
                <w:txbxContent>
                  <w:p w14:paraId="1C677FE1">
                    <w:pPr>
                      <w:rPr>
                        <w:rFonts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szCs w:val="10"/>
      </w:rPr>
      <w:drawing>
        <wp:inline distT="0" distB="0" distL="0" distR="0">
          <wp:extent cx="773430" cy="877570"/>
          <wp:effectExtent l="0" t="0" r="7620" b="1778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396B7422">
    <w:pPr>
      <w:pStyle w:val="5"/>
      <w:rPr>
        <w:sz w:val="10"/>
        <w:szCs w:val="10"/>
      </w:rPr>
    </w:pPr>
  </w:p>
  <w:p w14:paraId="2929E01E">
    <w:pPr>
      <w:pStyle w:val="5"/>
      <w:rPr>
        <w:sz w:val="10"/>
        <w:szCs w:val="10"/>
      </w:rPr>
    </w:pPr>
    <w:bookmarkStart w:id="0" w:name="_GoBack"/>
    <w:bookmarkEnd w:id="0"/>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D77E">
    <w:pPr>
      <w:pStyle w:val="5"/>
    </w:pPr>
  </w:p>
  <w:p w14:paraId="4889E539">
    <w:pPr>
      <w:pStyle w:val="5"/>
    </w:pPr>
  </w:p>
  <w:p w14:paraId="6D2B9D7C">
    <w:pPr>
      <w:pStyle w:val="5"/>
    </w:pPr>
  </w:p>
  <w:p w14:paraId="3D459FD3">
    <w:pPr>
      <w:pStyle w:val="5"/>
    </w:pPr>
  </w:p>
  <w:p w14:paraId="33112C35">
    <w:pPr>
      <w:pStyle w:val="5"/>
    </w:pPr>
  </w:p>
  <w:p w14:paraId="34D9BCD4">
    <w:pPr>
      <w:pStyle w:val="5"/>
    </w:pPr>
  </w:p>
  <w:p w14:paraId="202DE71C">
    <w:pPr>
      <w:pStyle w:val="5"/>
    </w:pPr>
  </w:p>
  <w:p w14:paraId="1C07EBB3">
    <w:pPr>
      <w:pStyle w:val="5"/>
    </w:pPr>
  </w:p>
  <w:p w14:paraId="76E9F349">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F1EB7D"/>
    <w:multiLevelType w:val="singleLevel"/>
    <w:tmpl w:val="8AF1EB7D"/>
    <w:lvl w:ilvl="0" w:tentative="0">
      <w:start w:val="1"/>
      <w:numFmt w:val="decimal"/>
      <w:lvlText w:val="%1."/>
      <w:lvlJc w:val="left"/>
      <w:pPr>
        <w:ind w:left="425" w:hanging="425"/>
      </w:pPr>
      <w:rPr>
        <w:rFonts w:hint="default"/>
      </w:rPr>
    </w:lvl>
  </w:abstractNum>
  <w:abstractNum w:abstractNumId="1">
    <w:nsid w:val="CB1936F3"/>
    <w:multiLevelType w:val="singleLevel"/>
    <w:tmpl w:val="CB1936F3"/>
    <w:lvl w:ilvl="0" w:tentative="0">
      <w:start w:val="1"/>
      <w:numFmt w:val="decimal"/>
      <w:lvlText w:val="%1."/>
      <w:lvlJc w:val="left"/>
      <w:pPr>
        <w:ind w:left="425" w:hanging="425"/>
      </w:pPr>
      <w:rPr>
        <w:rFonts w:hint="default"/>
      </w:rPr>
    </w:lvl>
  </w:abstractNum>
  <w:abstractNum w:abstractNumId="2">
    <w:nsid w:val="7D70FA43"/>
    <w:multiLevelType w:val="singleLevel"/>
    <w:tmpl w:val="7D70FA43"/>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wNGMxNTYzNWNmZDhkMGY5NGY2MzU1NDNkNDEzMzQifQ=="/>
    <w:docVar w:name="KSO_WPS_MARK_KEY" w:val="9e5ed2ef-df1b-49b7-8e7e-1ada10df08c8"/>
  </w:docVars>
  <w:rsids>
    <w:rsidRoot w:val="00912B14"/>
    <w:rsid w:val="00136635"/>
    <w:rsid w:val="00156019"/>
    <w:rsid w:val="00296707"/>
    <w:rsid w:val="002F6D5B"/>
    <w:rsid w:val="003550AC"/>
    <w:rsid w:val="00455912"/>
    <w:rsid w:val="004E10FB"/>
    <w:rsid w:val="00505831"/>
    <w:rsid w:val="00527365"/>
    <w:rsid w:val="00760684"/>
    <w:rsid w:val="008543E0"/>
    <w:rsid w:val="00867CB0"/>
    <w:rsid w:val="008946E7"/>
    <w:rsid w:val="00912B14"/>
    <w:rsid w:val="0097112D"/>
    <w:rsid w:val="00977CD2"/>
    <w:rsid w:val="00AD4610"/>
    <w:rsid w:val="00B75EDD"/>
    <w:rsid w:val="00C81B08"/>
    <w:rsid w:val="00C84726"/>
    <w:rsid w:val="00CE391E"/>
    <w:rsid w:val="00D926C1"/>
    <w:rsid w:val="00DC3628"/>
    <w:rsid w:val="00E76590"/>
    <w:rsid w:val="00EA7C31"/>
    <w:rsid w:val="00F02A8D"/>
    <w:rsid w:val="00F253D2"/>
    <w:rsid w:val="00FF31FE"/>
    <w:rsid w:val="00FF4990"/>
    <w:rsid w:val="011078C7"/>
    <w:rsid w:val="0183453D"/>
    <w:rsid w:val="01EF3980"/>
    <w:rsid w:val="02442FC2"/>
    <w:rsid w:val="03100052"/>
    <w:rsid w:val="03127860"/>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6A82669"/>
    <w:rsid w:val="27F67809"/>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6859A9"/>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658</Words>
  <Characters>768</Characters>
  <Lines>6</Lines>
  <Paragraphs>1</Paragraphs>
  <TotalTime>0</TotalTime>
  <ScaleCrop>false</ScaleCrop>
  <LinksUpToDate>false</LinksUpToDate>
  <CharactersWithSpaces>783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2024-07-22T09:13:00Z</dcterms:created>
  <dc:creator>Davis</dc:creator>
  <cp:lastModifiedBy>戴眼镜的麻杆。</cp:lastModifiedBy>
  <cp:lastPrinted>2024-06-20T10:29:00Z</cp:lastPrinted>
  <dcterms:modified xsi:type="dcterms:W3CDTF">2026-04-14T04:49:23Z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38D258D4DD3D4C3496FBC3D3649A7D42</vt:lpwstr>
  </property>
  <property fmtid="{D5CDD505-2E9C-101B-9397-08002B2CF9AE}" pid="4" name="KSOTemplateDocerSaveRecord">
    <vt:lpwstr>eyJoZGlkIjoiN2FkMmFjNTIzYTc2MzM4YzI5MjhhZjFlYzFlYTkyNWUiLCJ1c2VySWQiOiIxMTk5MzAzNjYzIn0=</vt:lpwstr>
  </property>
</Properties>
</file>