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B48AF">
      <w:pPr>
        <w:spacing w:line="360" w:lineRule="auto"/>
        <w:jc w:val="center"/>
        <w:rPr>
          <w:rFonts w:hint="default" w:ascii="Arial" w:hAnsi="Arial" w:eastAsia="微软雅黑" w:cs="Arial"/>
          <w:b/>
          <w:bCs/>
          <w:sz w:val="48"/>
          <w:szCs w:val="48"/>
        </w:rPr>
      </w:pPr>
      <w:r>
        <w:rPr>
          <w:rFonts w:hint="default" w:ascii="Arial" w:hAnsi="Arial" w:eastAsia="微软雅黑" w:cs="Arial"/>
          <w:b/>
          <w:bCs/>
          <w:sz w:val="32"/>
          <w:szCs w:val="32"/>
        </w:rPr>
        <w:t>Product Technical Specification</w:t>
      </w:r>
    </w:p>
    <w:p w14:paraId="4E1ED8A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Product Introduction</w:t>
      </w:r>
    </w:p>
    <w:p w14:paraId="0711A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kern w:val="0"/>
          <w:sz w:val="24"/>
          <w:szCs w:val="24"/>
          <w:lang w:val="en-US" w:eastAsia="zh-CN" w:bidi="ar"/>
        </w:rPr>
      </w:pPr>
      <w:r>
        <w:rPr>
          <w:rFonts w:hint="default" w:ascii="Arial" w:hAnsi="Arial" w:eastAsia="宋体" w:cs="Arial"/>
          <w:color w:val="000000"/>
          <w:kern w:val="0"/>
          <w:sz w:val="24"/>
          <w:szCs w:val="24"/>
          <w:bdr w:val="none" w:color="auto" w:sz="0" w:space="0"/>
          <w:lang w:val="en-US" w:eastAsia="zh-CN" w:bidi="ar"/>
        </w:rPr>
        <w:t>C</w:t>
      </w:r>
      <w:r>
        <w:rPr>
          <w:rFonts w:hint="default" w:ascii="Arial" w:hAnsi="Arial" w:cs="Arial"/>
          <w:color w:val="000000"/>
          <w:kern w:val="0"/>
          <w:sz w:val="24"/>
          <w:szCs w:val="24"/>
          <w:lang w:val="en-US" w:eastAsia="zh-CN" w:bidi="ar"/>
        </w:rPr>
        <w:t xml:space="preserve">N-113 </w:t>
      </w:r>
      <w:bookmarkStart w:id="0" w:name="_GoBack"/>
      <w:r>
        <w:rPr>
          <w:rFonts w:hint="default" w:ascii="Arial" w:hAnsi="Arial" w:cs="Arial"/>
          <w:color w:val="000000"/>
          <w:kern w:val="0"/>
          <w:sz w:val="24"/>
          <w:szCs w:val="24"/>
          <w:lang w:val="en-US" w:eastAsia="zh-CN" w:bidi="ar"/>
        </w:rPr>
        <w:t>Waterborne Polyurethane Dispersion</w:t>
      </w:r>
      <w:bookmarkEnd w:id="0"/>
      <w:r>
        <w:rPr>
          <w:rFonts w:hint="eastAsia" w:ascii="Arial" w:hAnsi="Arial" w:cs="Arial"/>
          <w:color w:val="000000"/>
          <w:kern w:val="0"/>
          <w:sz w:val="24"/>
          <w:szCs w:val="24"/>
          <w:lang w:val="en-US" w:eastAsia="zh-CN" w:bidi="ar"/>
        </w:rPr>
        <w:t xml:space="preserve"> </w:t>
      </w:r>
      <w:r>
        <w:rPr>
          <w:rFonts w:hint="default" w:ascii="Arial" w:hAnsi="Arial" w:cs="Arial"/>
          <w:color w:val="000000"/>
          <w:kern w:val="0"/>
          <w:sz w:val="24"/>
          <w:szCs w:val="24"/>
          <w:lang w:val="en-US" w:eastAsia="zh-CN" w:bidi="ar"/>
        </w:rPr>
        <w:t>is a high-performance aromatic waterborne polyurethane resin. It is safe, non-toxic, odorless and non-irritating. The film is transparent, soft with slight tack, smooth in formation and high in gloss. It can be used as a waterborne adhesive for metal, plastic, wood, paper, printing ink, etc., and also as a soft substrate coating for genuine leather, synthetic leather, printing paste, textiles, paper, etc. The environmental protection test results of this product meet the standards of Europe, America and Japan (environmental protection test report can be provided upon request).</w:t>
      </w:r>
    </w:p>
    <w:p w14:paraId="549430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Product Features</w:t>
      </w:r>
    </w:p>
    <w:p w14:paraId="5BF05FF0">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Environmentally friendly emulsion, free of toxic substances such as formaldehyde, nonylphenol, heavy metals, polycyclic aromatic hydrocarbons (PAHs) and DMF.</w:t>
      </w:r>
    </w:p>
    <w:p w14:paraId="69A2EB8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Trans</w:t>
      </w:r>
      <w:r>
        <w:rPr>
          <w:rFonts w:hint="default" w:ascii="Arial" w:hAnsi="Arial" w:cs="Arial"/>
          <w:color w:val="000000"/>
          <w:sz w:val="24"/>
          <w:szCs w:val="24"/>
        </w:rPr>
        <w:t>parent and soft film with good gloss and excellent flexibility.</w:t>
      </w:r>
    </w:p>
    <w:p w14:paraId="6C8607C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Excellent water resistance of the coating.</w:t>
      </w:r>
    </w:p>
    <w:p w14:paraId="29D8C87E">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Excellent adhesion to most substrates.</w:t>
      </w:r>
    </w:p>
    <w:p w14:paraId="416C688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The hardn</w:t>
      </w:r>
      <w:r>
        <w:rPr>
          <w:rFonts w:hint="default" w:ascii="Arial" w:hAnsi="Arial" w:cs="Arial"/>
          <w:color w:val="000000"/>
          <w:sz w:val="24"/>
          <w:szCs w:val="24"/>
          <w:bdr w:val="none" w:color="auto" w:sz="0" w:space="0"/>
        </w:rPr>
        <w:t>ess of the resin can be adjusted by matching with our company’s CN-115.</w:t>
      </w:r>
    </w:p>
    <w:p w14:paraId="40AAB222">
      <w:pPr>
        <w:tabs>
          <w:tab w:val="left" w:pos="720"/>
          <w:tab w:val="left" w:pos="1980"/>
        </w:tabs>
        <w:ind w:left="420" w:leftChars="200" w:firstLine="92" w:firstLineChars="100"/>
        <w:rPr>
          <w:rFonts w:hint="default" w:ascii="Arial" w:hAnsi="Arial" w:eastAsia="微软雅黑" w:cs="Arial"/>
          <w:spacing w:val="-4"/>
          <w:sz w:val="10"/>
          <w:szCs w:val="10"/>
        </w:rPr>
      </w:pPr>
    </w:p>
    <w:p w14:paraId="6F80A2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Technical Parameters*</w:t>
      </w:r>
    </w:p>
    <w:p w14:paraId="43BCB91C">
      <w:pPr>
        <w:rPr>
          <w:rFonts w:hint="default"/>
          <w:lang w:val="en-US" w:eastAsia="zh-CN"/>
        </w:rPr>
      </w:pPr>
    </w:p>
    <w:tbl>
      <w:tblPr>
        <w:tblStyle w:val="6"/>
        <w:tblpPr w:leftFromText="180" w:rightFromText="180" w:vertAnchor="text" w:horzAnchor="page" w:tblpX="1713" w:tblpY="84"/>
        <w:tblOverlap w:val="never"/>
        <w:tblW w:w="9053"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438"/>
        <w:gridCol w:w="1471"/>
        <w:gridCol w:w="2634"/>
      </w:tblGrid>
      <w:tr w14:paraId="5348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510" w:type="dxa"/>
            <w:tcBorders>
              <w:left w:val="nil"/>
              <w:bottom w:val="nil"/>
              <w:right w:val="nil"/>
            </w:tcBorders>
            <w:vAlign w:val="center"/>
          </w:tcPr>
          <w:p w14:paraId="34F4A9F7">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Item</w:t>
            </w:r>
          </w:p>
        </w:tc>
        <w:tc>
          <w:tcPr>
            <w:tcW w:w="2438" w:type="dxa"/>
            <w:tcBorders>
              <w:top w:val="single" w:color="auto" w:sz="4" w:space="0"/>
              <w:left w:val="nil"/>
              <w:bottom w:val="nil"/>
              <w:right w:val="nil"/>
            </w:tcBorders>
            <w:vAlign w:val="center"/>
          </w:tcPr>
          <w:p w14:paraId="29292CB1">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Parameter</w:t>
            </w:r>
          </w:p>
        </w:tc>
        <w:tc>
          <w:tcPr>
            <w:tcW w:w="1471" w:type="dxa"/>
            <w:tcBorders>
              <w:top w:val="single" w:color="auto" w:sz="4" w:space="0"/>
              <w:left w:val="nil"/>
              <w:bottom w:val="nil"/>
              <w:right w:val="nil"/>
            </w:tcBorders>
            <w:vAlign w:val="center"/>
          </w:tcPr>
          <w:p w14:paraId="2BA4527A">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Unit</w:t>
            </w:r>
          </w:p>
        </w:tc>
        <w:tc>
          <w:tcPr>
            <w:tcW w:w="2634" w:type="dxa"/>
            <w:tcBorders>
              <w:top w:val="single" w:color="auto" w:sz="4" w:space="0"/>
              <w:left w:val="nil"/>
              <w:bottom w:val="nil"/>
              <w:right w:val="nil"/>
            </w:tcBorders>
            <w:vAlign w:val="center"/>
          </w:tcPr>
          <w:p w14:paraId="59FCD36F">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Test Method</w:t>
            </w:r>
          </w:p>
        </w:tc>
      </w:tr>
      <w:tr w14:paraId="29F4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left w:val="nil"/>
              <w:bottom w:val="nil"/>
              <w:right w:val="nil"/>
            </w:tcBorders>
            <w:vAlign w:val="center"/>
          </w:tcPr>
          <w:p w14:paraId="1096BE26">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Appearance</w:t>
            </w:r>
          </w:p>
        </w:tc>
        <w:tc>
          <w:tcPr>
            <w:tcW w:w="2438" w:type="dxa"/>
            <w:tcBorders>
              <w:top w:val="single" w:color="auto" w:sz="4" w:space="0"/>
              <w:left w:val="nil"/>
              <w:bottom w:val="nil"/>
              <w:right w:val="nil"/>
            </w:tcBorders>
            <w:vAlign w:val="center"/>
          </w:tcPr>
          <w:p w14:paraId="02097D7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Bluish liquid</w:t>
            </w:r>
          </w:p>
        </w:tc>
        <w:tc>
          <w:tcPr>
            <w:tcW w:w="1471" w:type="dxa"/>
            <w:tcBorders>
              <w:top w:val="single" w:color="auto" w:sz="4" w:space="0"/>
              <w:left w:val="nil"/>
              <w:bottom w:val="nil"/>
              <w:right w:val="nil"/>
            </w:tcBorders>
            <w:vAlign w:val="center"/>
          </w:tcPr>
          <w:p w14:paraId="411FFB67">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34" w:type="dxa"/>
            <w:tcBorders>
              <w:top w:val="single" w:color="auto" w:sz="4" w:space="0"/>
              <w:left w:val="nil"/>
              <w:bottom w:val="nil"/>
              <w:right w:val="nil"/>
            </w:tcBorders>
            <w:vAlign w:val="center"/>
          </w:tcPr>
          <w:p w14:paraId="02FC73D8">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14074.1-1993</w:t>
            </w:r>
          </w:p>
        </w:tc>
      </w:tr>
      <w:tr w14:paraId="13D8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top w:val="nil"/>
              <w:left w:val="nil"/>
              <w:bottom w:val="nil"/>
              <w:right w:val="nil"/>
            </w:tcBorders>
            <w:vAlign w:val="center"/>
          </w:tcPr>
          <w:p w14:paraId="2F4DC372">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Solid Content</w:t>
            </w:r>
          </w:p>
        </w:tc>
        <w:tc>
          <w:tcPr>
            <w:tcW w:w="2438" w:type="dxa"/>
            <w:tcBorders>
              <w:top w:val="nil"/>
              <w:left w:val="nil"/>
              <w:bottom w:val="nil"/>
              <w:right w:val="nil"/>
            </w:tcBorders>
            <w:vAlign w:val="center"/>
          </w:tcPr>
          <w:p w14:paraId="554FBC5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35.00±1.00</w:t>
            </w:r>
          </w:p>
        </w:tc>
        <w:tc>
          <w:tcPr>
            <w:tcW w:w="1471" w:type="dxa"/>
            <w:tcBorders>
              <w:top w:val="nil"/>
              <w:left w:val="nil"/>
              <w:bottom w:val="nil"/>
              <w:right w:val="nil"/>
            </w:tcBorders>
            <w:vAlign w:val="center"/>
          </w:tcPr>
          <w:p w14:paraId="6EFA0E5B">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34" w:type="dxa"/>
            <w:tcBorders>
              <w:top w:val="nil"/>
              <w:left w:val="nil"/>
              <w:bottom w:val="nil"/>
              <w:right w:val="nil"/>
            </w:tcBorders>
            <w:vAlign w:val="center"/>
          </w:tcPr>
          <w:p w14:paraId="0A059958">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2793-1995</w:t>
            </w:r>
          </w:p>
        </w:tc>
      </w:tr>
      <w:tr w14:paraId="56DC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top w:val="nil"/>
              <w:left w:val="nil"/>
              <w:bottom w:val="nil"/>
              <w:right w:val="nil"/>
            </w:tcBorders>
            <w:vAlign w:val="center"/>
          </w:tcPr>
          <w:p w14:paraId="74ED23E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Viscosity</w:t>
            </w:r>
          </w:p>
        </w:tc>
        <w:tc>
          <w:tcPr>
            <w:tcW w:w="2438" w:type="dxa"/>
            <w:tcBorders>
              <w:top w:val="nil"/>
              <w:left w:val="nil"/>
              <w:bottom w:val="nil"/>
              <w:right w:val="nil"/>
            </w:tcBorders>
            <w:vAlign w:val="center"/>
          </w:tcPr>
          <w:p w14:paraId="4888256C">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&gt;30.0</w:t>
            </w:r>
          </w:p>
        </w:tc>
        <w:tc>
          <w:tcPr>
            <w:tcW w:w="1471" w:type="dxa"/>
            <w:tcBorders>
              <w:top w:val="nil"/>
              <w:left w:val="nil"/>
              <w:bottom w:val="nil"/>
              <w:right w:val="nil"/>
            </w:tcBorders>
            <w:vAlign w:val="center"/>
          </w:tcPr>
          <w:p w14:paraId="2A10707C">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mPa·s</w:t>
            </w:r>
          </w:p>
        </w:tc>
        <w:tc>
          <w:tcPr>
            <w:tcW w:w="2634" w:type="dxa"/>
            <w:tcBorders>
              <w:top w:val="nil"/>
              <w:left w:val="nil"/>
              <w:bottom w:val="nil"/>
              <w:right w:val="nil"/>
            </w:tcBorders>
            <w:vAlign w:val="center"/>
          </w:tcPr>
          <w:p w14:paraId="53B80D21">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10247-1998</w:t>
            </w:r>
          </w:p>
        </w:tc>
      </w:tr>
      <w:tr w14:paraId="6F9F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top w:val="nil"/>
              <w:left w:val="nil"/>
              <w:bottom w:val="nil"/>
              <w:right w:val="nil"/>
            </w:tcBorders>
            <w:vAlign w:val="center"/>
          </w:tcPr>
          <w:p w14:paraId="635F5C0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pH</w:t>
            </w:r>
          </w:p>
        </w:tc>
        <w:tc>
          <w:tcPr>
            <w:tcW w:w="2438" w:type="dxa"/>
            <w:tcBorders>
              <w:top w:val="nil"/>
              <w:left w:val="nil"/>
              <w:bottom w:val="nil"/>
              <w:right w:val="nil"/>
            </w:tcBorders>
            <w:vAlign w:val="center"/>
          </w:tcPr>
          <w:p w14:paraId="5C59EDF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6.0-8.0</w:t>
            </w:r>
          </w:p>
        </w:tc>
        <w:tc>
          <w:tcPr>
            <w:tcW w:w="1471" w:type="dxa"/>
            <w:tcBorders>
              <w:top w:val="nil"/>
              <w:left w:val="nil"/>
              <w:bottom w:val="nil"/>
              <w:right w:val="nil"/>
            </w:tcBorders>
            <w:vAlign w:val="center"/>
          </w:tcPr>
          <w:p w14:paraId="010B7893">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34" w:type="dxa"/>
            <w:tcBorders>
              <w:top w:val="nil"/>
              <w:left w:val="nil"/>
              <w:bottom w:val="nil"/>
              <w:right w:val="nil"/>
            </w:tcBorders>
            <w:vAlign w:val="center"/>
          </w:tcPr>
          <w:p w14:paraId="301D5055">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14518-1993</w:t>
            </w:r>
          </w:p>
        </w:tc>
      </w:tr>
      <w:tr w14:paraId="728E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top w:val="nil"/>
              <w:left w:val="nil"/>
              <w:bottom w:val="nil"/>
              <w:right w:val="nil"/>
            </w:tcBorders>
            <w:vAlign w:val="center"/>
          </w:tcPr>
          <w:p w14:paraId="588FB7C0">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100% Modulus</w:t>
            </w:r>
          </w:p>
        </w:tc>
        <w:tc>
          <w:tcPr>
            <w:tcW w:w="2438" w:type="dxa"/>
            <w:tcBorders>
              <w:top w:val="nil"/>
              <w:left w:val="nil"/>
              <w:bottom w:val="nil"/>
              <w:right w:val="nil"/>
            </w:tcBorders>
            <w:vAlign w:val="center"/>
          </w:tcPr>
          <w:p w14:paraId="1C89375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3.0-4.0</w:t>
            </w:r>
          </w:p>
        </w:tc>
        <w:tc>
          <w:tcPr>
            <w:tcW w:w="1471" w:type="dxa"/>
            <w:tcBorders>
              <w:top w:val="nil"/>
              <w:left w:val="nil"/>
              <w:bottom w:val="nil"/>
              <w:right w:val="nil"/>
            </w:tcBorders>
            <w:vAlign w:val="center"/>
          </w:tcPr>
          <w:p w14:paraId="571DB2D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w:t>
            </w:r>
          </w:p>
        </w:tc>
        <w:tc>
          <w:tcPr>
            <w:tcW w:w="2634" w:type="dxa"/>
            <w:tcBorders>
              <w:top w:val="nil"/>
              <w:left w:val="nil"/>
              <w:bottom w:val="nil"/>
              <w:right w:val="nil"/>
            </w:tcBorders>
            <w:vAlign w:val="center"/>
          </w:tcPr>
          <w:p w14:paraId="2963BE73">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r>
      <w:tr w14:paraId="24DD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10" w:type="dxa"/>
            <w:tcBorders>
              <w:top w:val="nil"/>
              <w:left w:val="nil"/>
              <w:right w:val="nil"/>
            </w:tcBorders>
            <w:vAlign w:val="center"/>
          </w:tcPr>
          <w:p w14:paraId="4D98D2AB">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Tensile Strength</w:t>
            </w:r>
          </w:p>
        </w:tc>
        <w:tc>
          <w:tcPr>
            <w:tcW w:w="2438" w:type="dxa"/>
            <w:tcBorders>
              <w:top w:val="nil"/>
              <w:left w:val="nil"/>
              <w:right w:val="nil"/>
            </w:tcBorders>
            <w:vAlign w:val="center"/>
          </w:tcPr>
          <w:p w14:paraId="7AD6D2F1">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9.0-10.0</w:t>
            </w:r>
          </w:p>
        </w:tc>
        <w:tc>
          <w:tcPr>
            <w:tcW w:w="1471" w:type="dxa"/>
            <w:tcBorders>
              <w:top w:val="nil"/>
              <w:left w:val="nil"/>
              <w:right w:val="nil"/>
            </w:tcBorders>
            <w:vAlign w:val="center"/>
          </w:tcPr>
          <w:p w14:paraId="1E676C2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w:t>
            </w:r>
          </w:p>
        </w:tc>
        <w:tc>
          <w:tcPr>
            <w:tcW w:w="2634" w:type="dxa"/>
            <w:tcBorders>
              <w:top w:val="nil"/>
              <w:left w:val="nil"/>
              <w:right w:val="nil"/>
            </w:tcBorders>
            <w:vAlign w:val="center"/>
          </w:tcPr>
          <w:p w14:paraId="00ADC14F">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r>
    </w:tbl>
    <w:p w14:paraId="71DACC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*These parameters represent typical results only and shall not be regarded as specifications. Subject to the actual COA.</w:t>
      </w:r>
    </w:p>
    <w:p w14:paraId="3E8055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b/>
          <w:bCs/>
          <w:color w:val="000000"/>
          <w:kern w:val="0"/>
          <w:sz w:val="24"/>
          <w:szCs w:val="24"/>
          <w:lang w:val="en-US" w:eastAsia="zh-CN" w:bidi="ar"/>
        </w:rPr>
      </w:pPr>
    </w:p>
    <w:p w14:paraId="0C1A73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Storage</w:t>
      </w:r>
    </w:p>
    <w:p w14:paraId="594DB9A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w:t>
      </w:r>
      <w:r>
        <w:rPr>
          <w:rFonts w:hint="default" w:ascii="Arial" w:hAnsi="Arial" w:cs="Arial"/>
          <w:color w:val="000000"/>
          <w:sz w:val="24"/>
          <w:szCs w:val="24"/>
        </w:rPr>
        <w:t>al sealed container.</w:t>
      </w:r>
    </w:p>
    <w:p w14:paraId="2554A0D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Recommended storage temperature: 6-28℃.</w:t>
      </w:r>
    </w:p>
    <w:p w14:paraId="64FE67A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Use within 6 months from the production date.</w:t>
      </w:r>
    </w:p>
    <w:p w14:paraId="6FA247F7">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Avoid direct sunlight and con</w:t>
      </w:r>
      <w:r>
        <w:rPr>
          <w:rFonts w:hint="default" w:ascii="Arial" w:hAnsi="Arial" w:cs="Arial"/>
          <w:color w:val="000000"/>
          <w:sz w:val="24"/>
          <w:szCs w:val="24"/>
          <w:bdr w:val="none" w:color="auto" w:sz="0" w:space="0"/>
        </w:rPr>
        <w:t>tamination by other substances.</w:t>
      </w:r>
    </w:p>
    <w:p w14:paraId="290A27C3">
      <w:pPr>
        <w:spacing w:line="360" w:lineRule="auto"/>
        <w:ind w:firstLine="480"/>
        <w:rPr>
          <w:rFonts w:hint="default" w:ascii="Arial" w:hAnsi="Arial" w:eastAsia="微软雅黑" w:cs="Arial"/>
          <w:sz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076C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05A4340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rPr>
            </w:pPr>
            <w:r>
              <w:rPr>
                <w:rFonts w:hint="default" w:ascii="Arial" w:hAnsi="Arial" w:eastAsia="宋体" w:cs="Arial"/>
                <w:sz w:val="24"/>
                <w:szCs w:val="24"/>
              </w:rPr>
              <w:t>Prolonged storage at low temperature will cause irreversible damage to the product. Keep the container sealed; otherwise, water evaporation will form an insoluble polymer film on the product surface. Expiry of the above 6-month period does not mean the product is out of specifications or technical parameters. Please test before use to confirm compliance with specifications or technical parameters.</w:t>
            </w:r>
          </w:p>
        </w:tc>
      </w:tr>
    </w:tbl>
    <w:p w14:paraId="5EA91498">
      <w:pPr>
        <w:spacing w:line="360" w:lineRule="auto"/>
        <w:rPr>
          <w:rFonts w:hint="default" w:ascii="Arial" w:hAnsi="Arial" w:eastAsia="微软雅黑" w:cs="Arial"/>
          <w:b/>
          <w:bCs/>
          <w:sz w:val="28"/>
          <w:szCs w:val="28"/>
        </w:rPr>
      </w:pPr>
    </w:p>
    <w:p w14:paraId="147CCD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Precautions</w:t>
      </w:r>
    </w:p>
    <w:p w14:paraId="61A8D75C">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 xml:space="preserve">Adding curing </w:t>
      </w:r>
      <w:r>
        <w:rPr>
          <w:rFonts w:hint="default" w:ascii="Arial" w:hAnsi="Arial" w:cs="Arial"/>
          <w:color w:val="000000"/>
          <w:sz w:val="24"/>
          <w:szCs w:val="24"/>
        </w:rPr>
        <w:t>agent can improve fastness but may affect hand feel.</w:t>
      </w:r>
    </w:p>
    <w:p w14:paraId="3A749617">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Waterborne resin added with crosslinking agent must be used within 24 hours.</w:t>
      </w:r>
    </w:p>
    <w:p w14:paraId="3148D6C6">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This product is synthesized with special polyester, and the dry film has excellent water resistance; the waterborne emulsion may decompose during long-term storage, so please test in advance before use.</w:t>
      </w:r>
    </w:p>
    <w:p w14:paraId="618BCB99">
      <w:pPr>
        <w:tabs>
          <w:tab w:val="left" w:pos="720"/>
          <w:tab w:val="left" w:pos="1980"/>
        </w:tabs>
        <w:spacing w:line="360" w:lineRule="auto"/>
        <w:ind w:left="659" w:leftChars="314"/>
        <w:rPr>
          <w:rFonts w:hint="default" w:ascii="Arial" w:hAnsi="Arial" w:eastAsia="微软雅黑" w:cs="Arial"/>
          <w:spacing w:val="-4"/>
          <w:sz w:val="24"/>
        </w:rPr>
      </w:pPr>
    </w:p>
    <w:p w14:paraId="4B0E92EF">
      <w:pPr>
        <w:tabs>
          <w:tab w:val="left" w:pos="720"/>
          <w:tab w:val="left" w:pos="1980"/>
        </w:tabs>
        <w:spacing w:line="360" w:lineRule="auto"/>
        <w:ind w:firstLine="1961" w:firstLineChars="700"/>
        <w:rPr>
          <w:rFonts w:hint="default" w:ascii="Arial" w:hAnsi="Arial" w:eastAsia="微软雅黑" w:cs="Arial"/>
          <w:b/>
          <w:bCs/>
          <w:sz w:val="28"/>
          <w:szCs w:val="28"/>
        </w:rPr>
      </w:pPr>
    </w:p>
    <w:p w14:paraId="5E47BC06">
      <w:pPr>
        <w:tabs>
          <w:tab w:val="left" w:pos="720"/>
          <w:tab w:val="left" w:pos="1980"/>
        </w:tabs>
        <w:spacing w:line="360" w:lineRule="auto"/>
        <w:ind w:firstLine="1961" w:firstLineChars="700"/>
        <w:rPr>
          <w:rFonts w:hint="default" w:ascii="Arial" w:hAnsi="Arial" w:eastAsia="微软雅黑" w:cs="Arial"/>
          <w:b/>
          <w:bCs/>
          <w:sz w:val="28"/>
          <w:szCs w:val="28"/>
        </w:rPr>
      </w:pPr>
    </w:p>
    <w:p w14:paraId="74752E9C">
      <w:pPr>
        <w:tabs>
          <w:tab w:val="left" w:pos="720"/>
          <w:tab w:val="left" w:pos="1980"/>
        </w:tabs>
        <w:spacing w:line="360" w:lineRule="auto"/>
        <w:ind w:firstLine="1961" w:firstLineChars="700"/>
        <w:rPr>
          <w:rFonts w:hint="default" w:ascii="Arial" w:hAnsi="Arial" w:eastAsia="微软雅黑" w:cs="Arial"/>
          <w:b/>
          <w:bCs/>
          <w:sz w:val="28"/>
          <w:szCs w:val="28"/>
        </w:rPr>
      </w:pPr>
    </w:p>
    <w:p w14:paraId="3C6C3DB4">
      <w:pPr>
        <w:tabs>
          <w:tab w:val="left" w:pos="720"/>
          <w:tab w:val="left" w:pos="1980"/>
        </w:tabs>
        <w:spacing w:line="360" w:lineRule="auto"/>
        <w:ind w:firstLine="1961" w:firstLineChars="700"/>
        <w:rPr>
          <w:rFonts w:hint="default" w:ascii="Arial" w:hAnsi="Arial" w:eastAsia="微软雅黑" w:cs="Arial"/>
          <w:b/>
          <w:bCs/>
          <w:sz w:val="28"/>
          <w:szCs w:val="28"/>
        </w:rPr>
      </w:pPr>
    </w:p>
    <w:p w14:paraId="6691F253">
      <w:pPr>
        <w:tabs>
          <w:tab w:val="left" w:pos="720"/>
          <w:tab w:val="left" w:pos="1980"/>
        </w:tabs>
        <w:spacing w:line="360" w:lineRule="auto"/>
        <w:ind w:firstLine="1961" w:firstLineChars="700"/>
        <w:rPr>
          <w:rFonts w:hint="default" w:ascii="Arial" w:hAnsi="Arial" w:eastAsia="微软雅黑" w:cs="Arial"/>
          <w:b/>
          <w:bCs/>
          <w:sz w:val="28"/>
          <w:szCs w:val="28"/>
        </w:rPr>
      </w:pPr>
    </w:p>
    <w:p w14:paraId="7FCADB52">
      <w:pPr>
        <w:tabs>
          <w:tab w:val="left" w:pos="720"/>
          <w:tab w:val="left" w:pos="1980"/>
        </w:tabs>
        <w:spacing w:line="360" w:lineRule="auto"/>
        <w:ind w:firstLine="1961" w:firstLineChars="700"/>
        <w:rPr>
          <w:rFonts w:hint="default" w:ascii="Arial" w:hAnsi="Arial" w:eastAsia="微软雅黑" w:cs="Arial"/>
          <w:b/>
          <w:bCs/>
          <w:sz w:val="28"/>
          <w:szCs w:val="28"/>
        </w:rPr>
      </w:pPr>
    </w:p>
    <w:p w14:paraId="4E8CCB9D">
      <w:pPr>
        <w:tabs>
          <w:tab w:val="left" w:pos="720"/>
          <w:tab w:val="left" w:pos="1980"/>
        </w:tabs>
        <w:spacing w:line="360" w:lineRule="auto"/>
        <w:ind w:firstLine="1961" w:firstLineChars="700"/>
        <w:rPr>
          <w:rFonts w:hint="default" w:ascii="Arial" w:hAnsi="Arial" w:eastAsia="微软雅黑" w:cs="Arial"/>
          <w:b/>
          <w:bCs/>
          <w:sz w:val="28"/>
          <w:szCs w:val="28"/>
        </w:rPr>
      </w:pPr>
    </w:p>
    <w:p w14:paraId="0A727E36">
      <w:pPr>
        <w:tabs>
          <w:tab w:val="left" w:pos="720"/>
          <w:tab w:val="left" w:pos="1980"/>
        </w:tabs>
        <w:spacing w:line="360" w:lineRule="auto"/>
        <w:ind w:firstLine="1961" w:firstLineChars="700"/>
        <w:rPr>
          <w:rFonts w:hint="default" w:ascii="Arial" w:hAnsi="Arial" w:eastAsia="微软雅黑" w:cs="Arial"/>
          <w:b/>
          <w:bCs/>
          <w:sz w:val="28"/>
          <w:szCs w:val="28"/>
        </w:rPr>
      </w:pPr>
    </w:p>
    <w:p w14:paraId="53FCE769">
      <w:pPr>
        <w:tabs>
          <w:tab w:val="left" w:pos="720"/>
          <w:tab w:val="left" w:pos="1980"/>
        </w:tabs>
        <w:spacing w:line="360" w:lineRule="auto"/>
        <w:rPr>
          <w:rFonts w:hint="default" w:ascii="Arial" w:hAnsi="Arial" w:eastAsia="微软雅黑" w:cs="Arial"/>
          <w:spacing w:val="-4"/>
          <w:sz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5B1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8468D9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rPr>
            </w:pPr>
            <w:r>
              <w:rPr>
                <w:rFonts w:hint="default" w:ascii="Arial" w:hAnsi="Arial" w:eastAsia="宋体" w:cs="Arial"/>
                <w:sz w:val="24"/>
                <w:szCs w:val="24"/>
              </w:rPr>
              <w:t>The above information only represents our quality evaluation results obtained from our laboratory and is not a guarantee that the product has certain properties or meets specific applications. Please conduct specific tests as required before use. Thank you for your choice and support!</w:t>
            </w:r>
          </w:p>
        </w:tc>
      </w:tr>
    </w:tbl>
    <w:p w14:paraId="794E5063">
      <w:pPr>
        <w:pStyle w:val="9"/>
        <w:rPr>
          <w:rFonts w:hint="default" w:ascii="Arial" w:hAnsi="Arial" w:eastAsia="微软雅黑" w:cs="Arial"/>
          <w:b/>
          <w:bCs/>
        </w:rPr>
      </w:pPr>
    </w:p>
    <w:sectPr>
      <w:headerReference r:id="rId4" w:type="first"/>
      <w:footerReference r:id="rId6" w:type="first"/>
      <w:headerReference r:id="rId3" w:type="default"/>
      <w:footerReference r:id="rId5" w:type="default"/>
      <w:pgSz w:w="11906" w:h="16838"/>
      <w:pgMar w:top="850" w:right="1417" w:bottom="850" w:left="1417" w:header="737" w:footer="34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61312" behindDoc="0" locked="0" layoutInCell="1" allowOverlap="1">
              <wp:simplePos x="0" y="0"/>
              <wp:positionH relativeFrom="column">
                <wp:posOffset>3618865</wp:posOffset>
              </wp:positionH>
              <wp:positionV relativeFrom="paragraph">
                <wp:posOffset>398780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D08E9">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4.95pt;margin-top:31.4pt;height:47.8pt;width:144pt;mso-wrap-style:none;z-index:251661312;mso-width-relative:page;mso-height-relative:page;" filled="f" stroked="f" coordsize="21600,21600" o:gfxdata="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05vpB2wAAAAoBAAAPAAAAAAAAAAEAIAAAACIAAABkcnMv&#10;ZG93bnJldi54bWxQSwECFAAUAAAACACHTuJAVkQEPzkCAABkBAAADgAAAAAAAAABACAAAAAqAQAA&#10;ZHJzL2Uyb0RvYy54bWxQSwUGAAAAAAYABgBZAQAA1QUAAAAA&#10;">
              <v:fill on="f" focussize="0,0"/>
              <v:stroke on="f" weight="0.5pt"/>
              <v:imagedata o:title=""/>
              <o:lock v:ext="edit" aspectratio="f"/>
              <v:textbox>
                <w:txbxContent>
                  <w:p w14:paraId="662D08E9">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rPr>
      <mc:AlternateContent>
        <mc:Choice Requires="wps">
          <w:drawing>
            <wp:anchor distT="0" distB="0" distL="114300" distR="114300" simplePos="0" relativeHeight="251659264" behindDoc="0" locked="0" layoutInCell="1" allowOverlap="1">
              <wp:simplePos x="0" y="0"/>
              <wp:positionH relativeFrom="column">
                <wp:posOffset>4379595</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CN-113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85pt;margin-top:-1.35pt;height:48.75pt;width:125.75pt;z-index:251659264;mso-width-relative:page;mso-height-relative:page;" filled="f" stroked="f" coordsize="21600,21600" o:gfxdata="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3VV0Vd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CN-113</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E6E7ED"/>
    <w:multiLevelType w:val="singleLevel"/>
    <w:tmpl w:val="B4E6E7ED"/>
    <w:lvl w:ilvl="0" w:tentative="0">
      <w:start w:val="1"/>
      <w:numFmt w:val="decimal"/>
      <w:lvlText w:val="%1."/>
      <w:lvlJc w:val="left"/>
      <w:pPr>
        <w:ind w:left="425" w:hanging="425"/>
      </w:pPr>
      <w:rPr>
        <w:rFonts w:hint="default"/>
      </w:rPr>
    </w:lvl>
  </w:abstractNum>
  <w:abstractNum w:abstractNumId="1">
    <w:nsid w:val="CE5047A2"/>
    <w:multiLevelType w:val="singleLevel"/>
    <w:tmpl w:val="CE5047A2"/>
    <w:lvl w:ilvl="0" w:tentative="0">
      <w:start w:val="1"/>
      <w:numFmt w:val="decimal"/>
      <w:lvlText w:val="%1."/>
      <w:lvlJc w:val="left"/>
      <w:pPr>
        <w:ind w:left="425" w:hanging="425"/>
      </w:pPr>
      <w:rPr>
        <w:rFonts w:hint="default"/>
      </w:rPr>
    </w:lvl>
  </w:abstractNum>
  <w:abstractNum w:abstractNumId="2">
    <w:nsid w:val="712B52F1"/>
    <w:multiLevelType w:val="singleLevel"/>
    <w:tmpl w:val="712B52F1"/>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4443A"/>
    <w:rsid w:val="00136635"/>
    <w:rsid w:val="00156019"/>
    <w:rsid w:val="00200121"/>
    <w:rsid w:val="00264EA8"/>
    <w:rsid w:val="00296707"/>
    <w:rsid w:val="002F6D5B"/>
    <w:rsid w:val="003550AC"/>
    <w:rsid w:val="003B16AF"/>
    <w:rsid w:val="00455912"/>
    <w:rsid w:val="00505831"/>
    <w:rsid w:val="00527365"/>
    <w:rsid w:val="00596990"/>
    <w:rsid w:val="005D2EFD"/>
    <w:rsid w:val="00867CB0"/>
    <w:rsid w:val="00912B14"/>
    <w:rsid w:val="0097112D"/>
    <w:rsid w:val="00B829A2"/>
    <w:rsid w:val="00CB1423"/>
    <w:rsid w:val="00CE110F"/>
    <w:rsid w:val="00D33741"/>
    <w:rsid w:val="00D55D1D"/>
    <w:rsid w:val="00E64056"/>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331D7"/>
    <w:rsid w:val="2AFD21C9"/>
    <w:rsid w:val="2CC4633A"/>
    <w:rsid w:val="2D0619FA"/>
    <w:rsid w:val="2D534BA2"/>
    <w:rsid w:val="2DA21723"/>
    <w:rsid w:val="2DBA1DF2"/>
    <w:rsid w:val="2EEB0EA8"/>
    <w:rsid w:val="2F7B222C"/>
    <w:rsid w:val="2F8C6D98"/>
    <w:rsid w:val="2FFE4C0B"/>
    <w:rsid w:val="304463CA"/>
    <w:rsid w:val="30954A7B"/>
    <w:rsid w:val="30AE3614"/>
    <w:rsid w:val="30D00C4A"/>
    <w:rsid w:val="31815D52"/>
    <w:rsid w:val="31D2634F"/>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CC56EE"/>
    <w:rsid w:val="40ED0AAF"/>
    <w:rsid w:val="40F55BB6"/>
    <w:rsid w:val="40FA4F7A"/>
    <w:rsid w:val="41801923"/>
    <w:rsid w:val="41852ECE"/>
    <w:rsid w:val="42130A14"/>
    <w:rsid w:val="43420752"/>
    <w:rsid w:val="436D5ED7"/>
    <w:rsid w:val="43A917E1"/>
    <w:rsid w:val="43C156DA"/>
    <w:rsid w:val="44023B4A"/>
    <w:rsid w:val="44057542"/>
    <w:rsid w:val="44305C06"/>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88E2D92"/>
    <w:rsid w:val="792064E4"/>
    <w:rsid w:val="793B4942"/>
    <w:rsid w:val="79960FDD"/>
    <w:rsid w:val="79E1494E"/>
    <w:rsid w:val="7A6C06BC"/>
    <w:rsid w:val="7A6E32DC"/>
    <w:rsid w:val="7BBB10DA"/>
    <w:rsid w:val="7BF2699E"/>
    <w:rsid w:val="7C3D4373"/>
    <w:rsid w:val="7D284642"/>
    <w:rsid w:val="7D39684F"/>
    <w:rsid w:val="7D5B42AD"/>
    <w:rsid w:val="7D983576"/>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696</Words>
  <Characters>816</Characters>
  <Lines>6</Lines>
  <Paragraphs>1</Paragraphs>
  <TotalTime>0</TotalTime>
  <ScaleCrop>false</ScaleCrop>
  <LinksUpToDate>false</LinksUpToDate>
  <CharactersWithSpaces>836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2024-06-20T10:51:00Z</dcterms:created>
  <dc:creator>Davis</dc:creator>
  <cp:lastModifiedBy>戴眼镜的麻杆。</cp:lastModifiedBy>
  <cp:lastPrinted>2024-06-20T10:29:00Z</cp:lastPrinted>
  <dcterms:modified xsi:type="dcterms:W3CDTF">2026-04-09T02:48:37Z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