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5470E">
      <w:pPr>
        <w:spacing w:line="360" w:lineRule="auto"/>
        <w:jc w:val="center"/>
        <w:rPr>
          <w:rFonts w:hint="default" w:ascii="Arial" w:hAnsi="Arial" w:eastAsia="微软雅黑" w:cs="Arial"/>
          <w:b/>
          <w:bCs/>
          <w:sz w:val="32"/>
          <w:szCs w:val="32"/>
        </w:rPr>
      </w:pPr>
      <w:r>
        <w:rPr>
          <w:rFonts w:hint="default" w:ascii="Arial" w:hAnsi="Arial" w:eastAsia="微软雅黑" w:cs="Arial"/>
          <w:b/>
          <w:bCs/>
          <w:sz w:val="32"/>
          <w:szCs w:val="32"/>
        </w:rPr>
        <w:t>Product Technical Specification</w:t>
      </w:r>
    </w:p>
    <w:p w14:paraId="57E25DA3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Product Introduction</w:t>
      </w:r>
    </w:p>
    <w:p w14:paraId="539B531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CN-116B is a high-performance aliphatic waterborne polyurethane resin. It is safe, non-toxic, odorless and non-irritating. The film is transparent, continuous, smooth, with high hardness and good gloss. It is a one-component waterborne coating formulation for woodware, rattan ware, bamboo ware, metal, paper, plastic, glass and other substrates.</w:t>
      </w:r>
    </w:p>
    <w:p w14:paraId="5A8040F2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 w14:paraId="007D50F3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Product Features</w:t>
      </w:r>
    </w:p>
    <w:p w14:paraId="7134626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Eco-friendly emulsion, free of toxic substances such as formaldehyde, nonylphenol, heavy metals, polycyclic aromatic hydrocarbons (PAHs) and DMF.</w:t>
      </w:r>
    </w:p>
    <w:p w14:paraId="4C55884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Transparent, smooth film with good gloss.</w:t>
      </w:r>
    </w:p>
    <w:p w14:paraId="44569D10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Excellent water resistance and weather resistance of the coating.</w:t>
      </w:r>
    </w:p>
    <w:p w14:paraId="76B39D4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High hardness, up to 1–2H.</w:t>
      </w:r>
    </w:p>
    <w:p w14:paraId="08A43A64">
      <w:pPr>
        <w:tabs>
          <w:tab w:val="left" w:pos="6838"/>
        </w:tabs>
        <w:spacing w:line="360" w:lineRule="auto"/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 w14:paraId="2DE01F3C">
      <w:pPr>
        <w:tabs>
          <w:tab w:val="left" w:pos="6838"/>
        </w:tabs>
        <w:spacing w:line="360" w:lineRule="auto"/>
        <w:rPr>
          <w:rFonts w:hint="default" w:ascii="Arial" w:hAnsi="Arial" w:eastAsia="微软雅黑" w:cs="Arial"/>
          <w:b/>
          <w:bCs/>
          <w:sz w:val="28"/>
          <w:szCs w:val="28"/>
          <w:lang w:val="en-US" w:eastAsia="zh-CN"/>
        </w:rPr>
      </w:pPr>
      <w:r>
        <w:rPr>
          <w:rFonts w:hint="default" w:ascii="Arial" w:hAnsi="Arial" w:eastAsia="宋体" w:cs="Arial"/>
          <w:b/>
          <w:bCs/>
          <w:color w:val="000000"/>
          <w:kern w:val="0"/>
          <w:sz w:val="28"/>
          <w:szCs w:val="28"/>
          <w:lang w:val="en-US" w:eastAsia="zh-CN" w:bidi="ar"/>
        </w:rPr>
        <w:t>Technical Parameters*</w:t>
      </w:r>
    </w:p>
    <w:tbl>
      <w:tblPr>
        <w:tblStyle w:val="9"/>
        <w:tblW w:w="4997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2"/>
        <w:gridCol w:w="2243"/>
        <w:gridCol w:w="1411"/>
        <w:gridCol w:w="3011"/>
      </w:tblGrid>
      <w:tr w14:paraId="79C06FAD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2402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6D67855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Item</w:t>
            </w:r>
          </w:p>
        </w:tc>
        <w:tc>
          <w:tcPr>
            <w:tcW w:w="2243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59C07E3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Parameter</w:t>
            </w:r>
          </w:p>
        </w:tc>
        <w:tc>
          <w:tcPr>
            <w:tcW w:w="1411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30C8A91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Unit</w:t>
            </w:r>
          </w:p>
        </w:tc>
        <w:tc>
          <w:tcPr>
            <w:tcW w:w="3011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 w14:paraId="2A27BF7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微软雅黑" w:cs="Arial"/>
                <w:sz w:val="28"/>
                <w:szCs w:val="28"/>
              </w:rPr>
            </w:pPr>
            <w:r>
              <w:rPr>
                <w:rFonts w:hint="default" w:ascii="Arial" w:hAnsi="Arial" w:eastAsia="宋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Test Method</w:t>
            </w:r>
          </w:p>
        </w:tc>
      </w:tr>
      <w:tr w14:paraId="1D36A323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exact"/>
        </w:trPr>
        <w:tc>
          <w:tcPr>
            <w:tcW w:w="2402" w:type="dxa"/>
            <w:tcBorders>
              <w:top w:val="single" w:color="000000" w:sz="2" w:space="0"/>
            </w:tcBorders>
            <w:vAlign w:val="center"/>
          </w:tcPr>
          <w:p w14:paraId="470067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Appearance</w:t>
            </w:r>
          </w:p>
        </w:tc>
        <w:tc>
          <w:tcPr>
            <w:tcW w:w="2243" w:type="dxa"/>
            <w:tcBorders>
              <w:top w:val="single" w:color="000000" w:sz="2" w:space="0"/>
            </w:tcBorders>
            <w:vAlign w:val="center"/>
          </w:tcPr>
          <w:p w14:paraId="34D037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Bluish liquid</w:t>
            </w:r>
          </w:p>
        </w:tc>
        <w:tc>
          <w:tcPr>
            <w:tcW w:w="1411" w:type="dxa"/>
            <w:tcBorders>
              <w:top w:val="single" w:color="000000" w:sz="2" w:space="0"/>
            </w:tcBorders>
            <w:vAlign w:val="center"/>
          </w:tcPr>
          <w:p w14:paraId="1998DF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3011" w:type="dxa"/>
            <w:tcBorders>
              <w:top w:val="single" w:color="000000" w:sz="2" w:space="0"/>
            </w:tcBorders>
            <w:vAlign w:val="center"/>
          </w:tcPr>
          <w:p w14:paraId="1C8DB1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GB/T 14074.1-1993</w:t>
            </w:r>
          </w:p>
        </w:tc>
      </w:tr>
      <w:tr w14:paraId="45336634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exact"/>
        </w:trPr>
        <w:tc>
          <w:tcPr>
            <w:tcW w:w="2402" w:type="dxa"/>
            <w:vAlign w:val="center"/>
          </w:tcPr>
          <w:p w14:paraId="40DA5D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Solid Content</w:t>
            </w:r>
          </w:p>
        </w:tc>
        <w:tc>
          <w:tcPr>
            <w:tcW w:w="2243" w:type="dxa"/>
            <w:vAlign w:val="center"/>
          </w:tcPr>
          <w:p w14:paraId="350CA1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30.00±1.00</w:t>
            </w:r>
          </w:p>
        </w:tc>
        <w:tc>
          <w:tcPr>
            <w:tcW w:w="1411" w:type="dxa"/>
            <w:vAlign w:val="center"/>
          </w:tcPr>
          <w:p w14:paraId="49F1CC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  <w:tc>
          <w:tcPr>
            <w:tcW w:w="3011" w:type="dxa"/>
            <w:vAlign w:val="center"/>
          </w:tcPr>
          <w:p w14:paraId="2C1790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GB/T 2793-1995</w:t>
            </w:r>
          </w:p>
        </w:tc>
      </w:tr>
      <w:tr w14:paraId="0077E4DC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exact"/>
        </w:trPr>
        <w:tc>
          <w:tcPr>
            <w:tcW w:w="2402" w:type="dxa"/>
            <w:vAlign w:val="center"/>
          </w:tcPr>
          <w:p w14:paraId="6F7CBA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Viscosity</w:t>
            </w:r>
          </w:p>
        </w:tc>
        <w:tc>
          <w:tcPr>
            <w:tcW w:w="2243" w:type="dxa"/>
            <w:vAlign w:val="center"/>
          </w:tcPr>
          <w:p w14:paraId="36AE72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&lt; 80.0</w:t>
            </w:r>
          </w:p>
        </w:tc>
        <w:tc>
          <w:tcPr>
            <w:tcW w:w="1411" w:type="dxa"/>
            <w:vAlign w:val="center"/>
          </w:tcPr>
          <w:p w14:paraId="7FFC52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mPa·s</w:t>
            </w:r>
          </w:p>
        </w:tc>
        <w:tc>
          <w:tcPr>
            <w:tcW w:w="3011" w:type="dxa"/>
            <w:vAlign w:val="center"/>
          </w:tcPr>
          <w:p w14:paraId="1320F6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GB/T 10247-1998</w:t>
            </w:r>
          </w:p>
        </w:tc>
      </w:tr>
      <w:tr w14:paraId="66BD23C7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exact"/>
        </w:trPr>
        <w:tc>
          <w:tcPr>
            <w:tcW w:w="2402" w:type="dxa"/>
            <w:vAlign w:val="center"/>
          </w:tcPr>
          <w:p w14:paraId="23DB50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pH</w:t>
            </w:r>
          </w:p>
        </w:tc>
        <w:tc>
          <w:tcPr>
            <w:tcW w:w="2243" w:type="dxa"/>
            <w:vAlign w:val="center"/>
          </w:tcPr>
          <w:p w14:paraId="7C0F9A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6.5–7.5</w:t>
            </w:r>
          </w:p>
        </w:tc>
        <w:tc>
          <w:tcPr>
            <w:tcW w:w="1411" w:type="dxa"/>
            <w:vAlign w:val="center"/>
          </w:tcPr>
          <w:p w14:paraId="356302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3011" w:type="dxa"/>
            <w:vAlign w:val="center"/>
          </w:tcPr>
          <w:p w14:paraId="6F0C4C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GB/T 14518-1993</w:t>
            </w:r>
          </w:p>
        </w:tc>
      </w:tr>
      <w:tr w14:paraId="400A5CC4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exact"/>
        </w:trPr>
        <w:tc>
          <w:tcPr>
            <w:tcW w:w="2402" w:type="dxa"/>
            <w:vAlign w:val="center"/>
          </w:tcPr>
          <w:p w14:paraId="3AC543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100% Modulus</w:t>
            </w:r>
          </w:p>
        </w:tc>
        <w:tc>
          <w:tcPr>
            <w:tcW w:w="2243" w:type="dxa"/>
            <w:vAlign w:val="center"/>
          </w:tcPr>
          <w:p w14:paraId="725A80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16.0–18.0</w:t>
            </w:r>
          </w:p>
        </w:tc>
        <w:tc>
          <w:tcPr>
            <w:tcW w:w="1411" w:type="dxa"/>
            <w:vAlign w:val="center"/>
          </w:tcPr>
          <w:p w14:paraId="644E70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3011" w:type="dxa"/>
            <w:vAlign w:val="center"/>
          </w:tcPr>
          <w:p w14:paraId="533A67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  <w:tr w14:paraId="01C31E48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exact"/>
        </w:trPr>
        <w:tc>
          <w:tcPr>
            <w:tcW w:w="2402" w:type="dxa"/>
            <w:tcBorders>
              <w:bottom w:val="single" w:color="000000" w:sz="2" w:space="0"/>
            </w:tcBorders>
            <w:vAlign w:val="center"/>
          </w:tcPr>
          <w:p w14:paraId="2CF28C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Tensile Strength</w:t>
            </w:r>
          </w:p>
        </w:tc>
        <w:tc>
          <w:tcPr>
            <w:tcW w:w="2243" w:type="dxa"/>
            <w:tcBorders>
              <w:bottom w:val="single" w:color="000000" w:sz="2" w:space="0"/>
            </w:tcBorders>
            <w:vAlign w:val="center"/>
          </w:tcPr>
          <w:p w14:paraId="2447B3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47.0–55.0</w:t>
            </w:r>
          </w:p>
        </w:tc>
        <w:tc>
          <w:tcPr>
            <w:tcW w:w="1411" w:type="dxa"/>
            <w:tcBorders>
              <w:bottom w:val="single" w:color="000000" w:sz="2" w:space="0"/>
            </w:tcBorders>
            <w:vAlign w:val="center"/>
          </w:tcPr>
          <w:p w14:paraId="19601B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3011" w:type="dxa"/>
            <w:tcBorders>
              <w:bottom w:val="single" w:color="000000" w:sz="2" w:space="0"/>
            </w:tcBorders>
            <w:vAlign w:val="center"/>
          </w:tcPr>
          <w:p w14:paraId="731AD6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right="0"/>
              <w:jc w:val="center"/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Arial" w:hAnsi="Arial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</w:tbl>
    <w:p w14:paraId="348993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*These parameters represent typical results only and shall not be deemed as specifications. Subject to the actual Certificate of Analysis (COA).</w:t>
      </w:r>
    </w:p>
    <w:p w14:paraId="7B25C5D0">
      <w:pPr>
        <w:rPr>
          <w:rFonts w:hint="default" w:ascii="Arial" w:hAnsi="Arial" w:eastAsia="微软雅黑" w:cs="Arial"/>
          <w:b/>
          <w:bCs/>
          <w:sz w:val="28"/>
          <w:szCs w:val="28"/>
        </w:rPr>
      </w:pPr>
    </w:p>
    <w:p w14:paraId="35D41F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Storage</w:t>
      </w:r>
    </w:p>
    <w:p w14:paraId="09F92A5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Store in the original seal</w:t>
      </w: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ed container.</w:t>
      </w:r>
    </w:p>
    <w:p w14:paraId="62C4F42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Recommended storage temperature: 6–28 °C.</w:t>
      </w:r>
    </w:p>
    <w:p w14:paraId="47ED565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Use within 6 months from the production date.</w:t>
      </w:r>
    </w:p>
    <w:p w14:paraId="5BCEF98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Avoid direct sunlight and contaminatio</w:t>
      </w: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n by other substances.</w:t>
      </w:r>
    </w:p>
    <w:p w14:paraId="5D20232D">
      <w:pPr>
        <w:spacing w:line="360" w:lineRule="auto"/>
        <w:ind w:firstLine="480"/>
        <w:rPr>
          <w:rFonts w:hint="default" w:ascii="Arial" w:hAnsi="Arial" w:eastAsia="微软雅黑" w:cs="Arial"/>
          <w:sz w:val="24"/>
        </w:rPr>
      </w:pPr>
    </w:p>
    <w:tbl>
      <w:tblPr>
        <w:tblStyle w:val="7"/>
        <w:tblW w:w="0" w:type="auto"/>
        <w:tblInd w:w="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 w14:paraId="53D3D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49" w:type="dxa"/>
            <w:tcBorders>
              <w:left w:val="nil"/>
              <w:bottom w:val="nil"/>
              <w:right w:val="nil"/>
            </w:tcBorders>
          </w:tcPr>
          <w:p w14:paraId="34F27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default" w:ascii="Arial" w:hAnsi="Arial" w:eastAsia="微软雅黑" w:cs="Arial"/>
                <w:sz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Prolonged storage at low temperature will cause irreversible damage to the product. Keep the container sealed; otherwise, water evaporation will form an insoluble polymer film on the surface. Expiry of the 6-month shelf life does not mean the product is out of specification. Please test before use to verify its compliance.</w:t>
            </w:r>
          </w:p>
        </w:tc>
      </w:tr>
    </w:tbl>
    <w:p w14:paraId="01C13AE9">
      <w:pPr>
        <w:spacing w:line="360" w:lineRule="auto"/>
        <w:rPr>
          <w:rFonts w:hint="default" w:ascii="Arial" w:hAnsi="Arial" w:eastAsia="微软雅黑" w:cs="Arial"/>
          <w:b/>
          <w:bCs/>
          <w:sz w:val="28"/>
          <w:szCs w:val="28"/>
        </w:rPr>
      </w:pPr>
    </w:p>
    <w:p w14:paraId="3EA4CAC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Precautions</w:t>
      </w:r>
    </w:p>
    <w:p w14:paraId="0070551D">
      <w:pPr>
        <w:rPr>
          <w:rFonts w:hint="default"/>
        </w:rPr>
      </w:pPr>
    </w:p>
    <w:p w14:paraId="7E0D5224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Adding a curing agent ca</w:t>
      </w: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n improve fastness but may affect the hand feel.</w:t>
      </w:r>
    </w:p>
    <w:p w14:paraId="47520792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Waterborne resin with crosslinking agent must be used within 24 hours.</w:t>
      </w:r>
    </w:p>
    <w:p w14:paraId="28C1B3C8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425" w:leftChars="0" w:right="0" w:hanging="425" w:firstLineChars="0"/>
        <w:jc w:val="left"/>
        <w:rPr>
          <w:rFonts w:hint="default" w:ascii="Arial" w:hAnsi="Arial" w:cs="Arial"/>
          <w:color w:val="000000"/>
          <w:sz w:val="24"/>
          <w:szCs w:val="24"/>
        </w:rPr>
      </w:pPr>
      <w:r>
        <w:rPr>
          <w:rFonts w:hint="default" w:ascii="Arial" w:hAnsi="Arial" w:cs="Arial"/>
          <w:color w:val="000000"/>
          <w:kern w:val="0"/>
          <w:sz w:val="24"/>
          <w:szCs w:val="24"/>
          <w:lang w:val="en-US" w:eastAsia="zh-CN" w:bidi="ar"/>
        </w:rPr>
        <w:t>This product is synthesized with special polyester; the dry film provides excellent water resistance. The waterborne emulsion may degrade during long-term storage, so pre-testing is recommended befor</w:t>
      </w:r>
      <w:r>
        <w:rPr>
          <w:rFonts w:hint="default" w:ascii="Arial" w:hAnsi="Arial" w:cs="Arial"/>
          <w:color w:val="000000"/>
          <w:sz w:val="24"/>
          <w:szCs w:val="24"/>
          <w:bdr w:val="none" w:color="auto" w:sz="0" w:space="0"/>
        </w:rPr>
        <w:t>e use.</w:t>
      </w:r>
    </w:p>
    <w:p w14:paraId="124B20D6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5389CBA4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4E54B15D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  <w:bookmarkStart w:id="0" w:name="_GoBack"/>
      <w:bookmarkEnd w:id="0"/>
    </w:p>
    <w:p w14:paraId="5B7ACC74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62868570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0CAAFEB3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649D7188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5371EF32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402EE817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微软雅黑" w:cs="Arial"/>
          <w:spacing w:val="-4"/>
          <w:sz w:val="24"/>
        </w:rPr>
      </w:pPr>
    </w:p>
    <w:p w14:paraId="6AA85B0A">
      <w:pPr>
        <w:tabs>
          <w:tab w:val="left" w:pos="720"/>
          <w:tab w:val="left" w:pos="1980"/>
        </w:tabs>
        <w:spacing w:line="360" w:lineRule="auto"/>
        <w:rPr>
          <w:rFonts w:hint="default" w:ascii="Arial" w:hAnsi="Arial" w:eastAsia="微软雅黑" w:cs="Arial"/>
          <w:spacing w:val="-4"/>
          <w:sz w:val="24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79E4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tcBorders>
              <w:left w:val="nil"/>
              <w:bottom w:val="nil"/>
              <w:right w:val="nil"/>
            </w:tcBorders>
          </w:tcPr>
          <w:p w14:paraId="2EEA9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default" w:ascii="Arial" w:hAnsi="Arial" w:eastAsia="微软雅黑" w:cs="Arial"/>
                <w:b/>
                <w:bCs/>
                <w:sz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T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he above information reflects our internal quality evaluation results from laboratory testing. It is not a guarantee of product performance or suitability for specific applications. Please conduct necessary tests before application. Thank you for your choice and support!</w:t>
            </w:r>
          </w:p>
        </w:tc>
      </w:tr>
    </w:tbl>
    <w:p w14:paraId="66F0C5DC">
      <w:pPr>
        <w:spacing w:line="360" w:lineRule="auto"/>
        <w:rPr>
          <w:rFonts w:hint="default" w:ascii="Arial" w:hAnsi="Arial" w:eastAsia="微软雅黑" w:cs="Arial"/>
          <w:b/>
          <w:bCs/>
          <w:sz w:val="24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850" w:right="1417" w:bottom="850" w:left="1417" w:header="850" w:footer="62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A5454">
    <w:pPr>
      <w:tabs>
        <w:tab w:val="center" w:pos="4536"/>
        <w:tab w:val="right" w:pos="9072"/>
      </w:tabs>
      <w:jc w:val="left"/>
      <w:rPr>
        <w:rFonts w:ascii="微软雅黑" w:hAnsi="微软雅黑" w:eastAsia="微软雅黑" w:cs="微软雅黑"/>
        <w:szCs w:val="21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2455545</wp:posOffset>
              </wp:positionH>
              <wp:positionV relativeFrom="paragraph">
                <wp:posOffset>8255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C6ED1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3.35pt;margin-top:0.65pt;height:144pt;width:144pt;mso-position-horizontal-relative:margin;mso-wrap-style:none;z-index:251662336;mso-width-relative:page;mso-height-relative:page;" filled="f" stroked="f" coordsize="21600,21600" o:gfxdata="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O5bJhdYAAAAJAQAADwAAAAAAAAABACAAAAAiAAAAZHJzL2Rvd25yZXYueG1sUEsBAhQAFAAA&#10;AAgAh07iQMrd1wwqAgAAVwQAAA4AAAAAAAAAAQAgAAAAJ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C6ED1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51830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7718B0">
                          <w:pPr>
                            <w:snapToGrid w:val="0"/>
                            <w:rPr>
                              <w:rFonts w:eastAsiaTheme="minor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ofIv8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HyL/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7718B0">
                    <w:pPr>
                      <w:snapToGrid w:val="0"/>
                      <w:rPr>
                        <w:rFonts w:eastAsiaTheme="minor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5CF34">
    <w:pPr>
      <w:pStyle w:val="5"/>
      <w:rPr>
        <w:sz w:val="10"/>
        <w:szCs w:val="10"/>
      </w:rPr>
    </w:pPr>
    <w:r>
      <w:rPr>
        <w:sz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4234815</wp:posOffset>
              </wp:positionH>
              <wp:positionV relativeFrom="paragraph">
                <wp:posOffset>1270</wp:posOffset>
              </wp:positionV>
              <wp:extent cx="1597025" cy="61912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02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A1CD6B">
                          <w:pPr>
                            <w:rPr>
                              <w:rFonts w:hint="default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:lang w:val="en-US" w:eastAsia="zh-CN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CN</w:t>
                          </w:r>
                          <w: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-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11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:lang w:val="en-US" w:eastAsia="zh-CN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6B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33.45pt;margin-top:0.1pt;height:48.75pt;width:125.75pt;z-index:251659264;mso-width-relative:page;mso-height-relative:page;" filled="f" stroked="f" coordsize="21600,21600" o:gfxdata="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yT6Ep2QAAAAcBAAAPAAAAAAAAAAEAIAAAACIAAABkcnMv&#10;ZG93bnJldi54bWxQSwECFAAUAAAACACHTuJASKgEazsCAABmBAAADgAAAAAAAAABACAAAAAoAQAA&#10;ZHJzL2Uyb0RvYy54bWxQSwUGAAAAAAYABgBZAQAA1Q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AA1CD6B">
                    <w:pPr>
                      <w:rPr>
                        <w:rFonts w:hint="default" w:eastAsia="微软雅黑"/>
                        <w:b/>
                        <w:bCs/>
                        <w:color w:val="00A2E9"/>
                        <w:sz w:val="52"/>
                        <w:szCs w:val="52"/>
                        <w:lang w:val="en-US" w:eastAsia="zh-CN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CN</w:t>
                    </w:r>
                    <w: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-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11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:lang w:val="en-US" w:eastAsia="zh-CN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6B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3600450</wp:posOffset>
              </wp:positionH>
              <wp:positionV relativeFrom="paragraph">
                <wp:posOffset>509270</wp:posOffset>
              </wp:positionV>
              <wp:extent cx="1828800" cy="48641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4864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677FE1"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Waterborne Polyurethane Dispersion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3.5pt;margin-top:40.1pt;height:38.3pt;width:144pt;mso-wrap-style:none;z-index:251661312;mso-width-relative:page;mso-height-relative:page;" filled="f" stroked="f" coordsize="21600,21600" o:gfxdata="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r/A/92wAAAAoBAAAPAAAAAAAAAAEAIAAAACIAAABkcnMv&#10;ZG93bnJldi54bWxQSwECFAAUAAAACACHTuJA4wvm7zkCAABkBAAADgAAAAAAAAABACAAAAAqAQAA&#10;ZHJzL2Uyb0RvYy54bWxQSwUGAAAAAAYABgBZAQAA1Q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C677FE1"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Waterborne Polyurethane Dispersion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  <w:szCs w:val="10"/>
      </w:rPr>
      <w:drawing>
        <wp:inline distT="0" distB="0" distL="0" distR="0">
          <wp:extent cx="773430" cy="877570"/>
          <wp:effectExtent l="0" t="0" r="7620" b="0"/>
          <wp:docPr id="78719178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19178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779" cy="885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微软雅黑" w:hAnsi="微软雅黑" w:eastAsia="微软雅黑" w:cs="微软雅黑"/>
        <w:szCs w:val="21"/>
      </w:rPr>
      <w:drawing>
        <wp:inline distT="0" distB="0" distL="0" distR="0">
          <wp:extent cx="2828925" cy="457200"/>
          <wp:effectExtent l="0" t="0" r="9525" b="0"/>
          <wp:docPr id="1275297970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297970" name="图片 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83654" cy="465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29E01E">
    <w:pPr>
      <w:pStyle w:val="5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DAD77E">
    <w:pPr>
      <w:pStyle w:val="5"/>
    </w:pPr>
  </w:p>
  <w:p w14:paraId="4889E539">
    <w:pPr>
      <w:pStyle w:val="5"/>
    </w:pPr>
  </w:p>
  <w:p w14:paraId="6D2B9D7C">
    <w:pPr>
      <w:pStyle w:val="5"/>
    </w:pPr>
  </w:p>
  <w:p w14:paraId="3D459FD3">
    <w:pPr>
      <w:pStyle w:val="5"/>
    </w:pPr>
  </w:p>
  <w:p w14:paraId="33112C35">
    <w:pPr>
      <w:pStyle w:val="5"/>
    </w:pPr>
  </w:p>
  <w:p w14:paraId="34D9BCD4">
    <w:pPr>
      <w:pStyle w:val="5"/>
    </w:pPr>
  </w:p>
  <w:p w14:paraId="202DE71C">
    <w:pPr>
      <w:pStyle w:val="5"/>
    </w:pPr>
  </w:p>
  <w:p w14:paraId="1C07EBB3">
    <w:pPr>
      <w:pStyle w:val="5"/>
    </w:pPr>
  </w:p>
  <w:p w14:paraId="76E9F349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4ACA92"/>
    <w:multiLevelType w:val="singleLevel"/>
    <w:tmpl w:val="8E4ACA9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D6BE6BC6"/>
    <w:multiLevelType w:val="singleLevel"/>
    <w:tmpl w:val="D6BE6BC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0FD20EE3"/>
    <w:multiLevelType w:val="singleLevel"/>
    <w:tmpl w:val="0FD20EE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IwNGMxNTYzNWNmZDhkMGY5NGY2MzU1NDNkNDEzMzQifQ=="/>
    <w:docVar w:name="KSO_WPS_MARK_KEY" w:val="9e5ed2ef-df1b-49b7-8e7e-1ada10df08c8"/>
  </w:docVars>
  <w:rsids>
    <w:rsidRoot w:val="00912B14"/>
    <w:rsid w:val="00136635"/>
    <w:rsid w:val="0014152D"/>
    <w:rsid w:val="00156019"/>
    <w:rsid w:val="00296707"/>
    <w:rsid w:val="002F6D5B"/>
    <w:rsid w:val="003550AC"/>
    <w:rsid w:val="00455912"/>
    <w:rsid w:val="00505831"/>
    <w:rsid w:val="00527365"/>
    <w:rsid w:val="006340AB"/>
    <w:rsid w:val="00867CB0"/>
    <w:rsid w:val="008741FC"/>
    <w:rsid w:val="008A2B16"/>
    <w:rsid w:val="00912B14"/>
    <w:rsid w:val="0097112D"/>
    <w:rsid w:val="00CB1423"/>
    <w:rsid w:val="00D37049"/>
    <w:rsid w:val="00D55D1D"/>
    <w:rsid w:val="00EB567E"/>
    <w:rsid w:val="00F02A8D"/>
    <w:rsid w:val="00F253D2"/>
    <w:rsid w:val="011078C7"/>
    <w:rsid w:val="0183453D"/>
    <w:rsid w:val="01EF3980"/>
    <w:rsid w:val="02442FC2"/>
    <w:rsid w:val="03100052"/>
    <w:rsid w:val="04A94C9E"/>
    <w:rsid w:val="04AE7B23"/>
    <w:rsid w:val="052B4CCF"/>
    <w:rsid w:val="05720C57"/>
    <w:rsid w:val="064C714F"/>
    <w:rsid w:val="065F6521"/>
    <w:rsid w:val="06D931EF"/>
    <w:rsid w:val="070F7027"/>
    <w:rsid w:val="07941252"/>
    <w:rsid w:val="07C140EA"/>
    <w:rsid w:val="07D21D7A"/>
    <w:rsid w:val="08071A24"/>
    <w:rsid w:val="0854453D"/>
    <w:rsid w:val="085731EC"/>
    <w:rsid w:val="08955CEE"/>
    <w:rsid w:val="09AA6B0A"/>
    <w:rsid w:val="09C007EB"/>
    <w:rsid w:val="09CB6A81"/>
    <w:rsid w:val="0AC459AA"/>
    <w:rsid w:val="0AD52242"/>
    <w:rsid w:val="0B8F4175"/>
    <w:rsid w:val="0BA22DE5"/>
    <w:rsid w:val="0BC1292A"/>
    <w:rsid w:val="0C0C50ED"/>
    <w:rsid w:val="0C2F32F7"/>
    <w:rsid w:val="0CAF6706"/>
    <w:rsid w:val="0CE9794A"/>
    <w:rsid w:val="0D054058"/>
    <w:rsid w:val="0E461615"/>
    <w:rsid w:val="0E4A2063"/>
    <w:rsid w:val="0E6E541F"/>
    <w:rsid w:val="0F316173"/>
    <w:rsid w:val="0F622D6C"/>
    <w:rsid w:val="0F7B6853"/>
    <w:rsid w:val="0F7E1B5D"/>
    <w:rsid w:val="0F7E29D8"/>
    <w:rsid w:val="0F8C2F08"/>
    <w:rsid w:val="0FEE3829"/>
    <w:rsid w:val="103C4234"/>
    <w:rsid w:val="10AB3168"/>
    <w:rsid w:val="111904EE"/>
    <w:rsid w:val="112B531D"/>
    <w:rsid w:val="13174AE5"/>
    <w:rsid w:val="13847EF8"/>
    <w:rsid w:val="13CE5AEB"/>
    <w:rsid w:val="145B0209"/>
    <w:rsid w:val="14B720DC"/>
    <w:rsid w:val="150C43FD"/>
    <w:rsid w:val="15127C5A"/>
    <w:rsid w:val="151C4634"/>
    <w:rsid w:val="156364B0"/>
    <w:rsid w:val="156602C5"/>
    <w:rsid w:val="158C3568"/>
    <w:rsid w:val="158E3DE7"/>
    <w:rsid w:val="16125B82"/>
    <w:rsid w:val="163A2FC4"/>
    <w:rsid w:val="16677B31"/>
    <w:rsid w:val="177D4274"/>
    <w:rsid w:val="181E4B7E"/>
    <w:rsid w:val="184719C8"/>
    <w:rsid w:val="190855FC"/>
    <w:rsid w:val="19145D4E"/>
    <w:rsid w:val="198D78AF"/>
    <w:rsid w:val="1AA03FCF"/>
    <w:rsid w:val="1AB9480C"/>
    <w:rsid w:val="1AD1412F"/>
    <w:rsid w:val="1B1E1106"/>
    <w:rsid w:val="1B8227E1"/>
    <w:rsid w:val="1BAA4748"/>
    <w:rsid w:val="1BB96F5D"/>
    <w:rsid w:val="1C0C4A0C"/>
    <w:rsid w:val="1C8C03D3"/>
    <w:rsid w:val="1CBB7F06"/>
    <w:rsid w:val="1D831216"/>
    <w:rsid w:val="1E1B192D"/>
    <w:rsid w:val="1E5313D0"/>
    <w:rsid w:val="1E6E10D2"/>
    <w:rsid w:val="1EBB6C6C"/>
    <w:rsid w:val="1EC65D3D"/>
    <w:rsid w:val="1EF9624C"/>
    <w:rsid w:val="1F175729"/>
    <w:rsid w:val="1F244168"/>
    <w:rsid w:val="20234AC9"/>
    <w:rsid w:val="20AE6A88"/>
    <w:rsid w:val="21A15D39"/>
    <w:rsid w:val="223C359F"/>
    <w:rsid w:val="224C6559"/>
    <w:rsid w:val="22BE6D2B"/>
    <w:rsid w:val="22C84AC3"/>
    <w:rsid w:val="22F1664C"/>
    <w:rsid w:val="233D0598"/>
    <w:rsid w:val="23B51EDC"/>
    <w:rsid w:val="24173588"/>
    <w:rsid w:val="24414A2E"/>
    <w:rsid w:val="24CD36D8"/>
    <w:rsid w:val="24D764A3"/>
    <w:rsid w:val="25212C68"/>
    <w:rsid w:val="253357AE"/>
    <w:rsid w:val="255B2F57"/>
    <w:rsid w:val="256E5E50"/>
    <w:rsid w:val="257D6812"/>
    <w:rsid w:val="25F969F8"/>
    <w:rsid w:val="26031B19"/>
    <w:rsid w:val="26232D49"/>
    <w:rsid w:val="266A3ED9"/>
    <w:rsid w:val="27F67809"/>
    <w:rsid w:val="285B5212"/>
    <w:rsid w:val="289366BF"/>
    <w:rsid w:val="28D249F8"/>
    <w:rsid w:val="28DC7F0B"/>
    <w:rsid w:val="29FE3870"/>
    <w:rsid w:val="2A2A637C"/>
    <w:rsid w:val="2A706411"/>
    <w:rsid w:val="2AFD21C9"/>
    <w:rsid w:val="2D0619FA"/>
    <w:rsid w:val="2D534BA2"/>
    <w:rsid w:val="2DA21723"/>
    <w:rsid w:val="2DBA1DF2"/>
    <w:rsid w:val="2EEB0EA8"/>
    <w:rsid w:val="2F7B222C"/>
    <w:rsid w:val="2F8C6D98"/>
    <w:rsid w:val="2FFE4C0B"/>
    <w:rsid w:val="304463CA"/>
    <w:rsid w:val="30954A7B"/>
    <w:rsid w:val="30AE3614"/>
    <w:rsid w:val="30D00C4A"/>
    <w:rsid w:val="31815D52"/>
    <w:rsid w:val="31F1602E"/>
    <w:rsid w:val="329A50BF"/>
    <w:rsid w:val="32B617CD"/>
    <w:rsid w:val="33075F48"/>
    <w:rsid w:val="3424477C"/>
    <w:rsid w:val="34B166F0"/>
    <w:rsid w:val="34C65B5C"/>
    <w:rsid w:val="34CF6B76"/>
    <w:rsid w:val="3538471B"/>
    <w:rsid w:val="358F0212"/>
    <w:rsid w:val="362F0630"/>
    <w:rsid w:val="366B0946"/>
    <w:rsid w:val="366E5B00"/>
    <w:rsid w:val="377356FF"/>
    <w:rsid w:val="37B02520"/>
    <w:rsid w:val="37B5307D"/>
    <w:rsid w:val="37CA4590"/>
    <w:rsid w:val="384E4AEF"/>
    <w:rsid w:val="38A547BD"/>
    <w:rsid w:val="38AF1198"/>
    <w:rsid w:val="38B44A29"/>
    <w:rsid w:val="3B1B42C7"/>
    <w:rsid w:val="3B2C6AD0"/>
    <w:rsid w:val="3B6C76A7"/>
    <w:rsid w:val="3B8B1A48"/>
    <w:rsid w:val="3BBD3BCC"/>
    <w:rsid w:val="3BE63123"/>
    <w:rsid w:val="3BF1545C"/>
    <w:rsid w:val="3BFC46F4"/>
    <w:rsid w:val="3C4B3342"/>
    <w:rsid w:val="3CC90F0B"/>
    <w:rsid w:val="3D5F222C"/>
    <w:rsid w:val="3E2A0056"/>
    <w:rsid w:val="3E2E2B5F"/>
    <w:rsid w:val="3E991ECF"/>
    <w:rsid w:val="3EA94D74"/>
    <w:rsid w:val="3F032F8F"/>
    <w:rsid w:val="3F7C4554"/>
    <w:rsid w:val="3F9453C0"/>
    <w:rsid w:val="3FA7706D"/>
    <w:rsid w:val="3FD80FD4"/>
    <w:rsid w:val="40956EC5"/>
    <w:rsid w:val="40CA5FBF"/>
    <w:rsid w:val="40ED0AAF"/>
    <w:rsid w:val="40F55BB6"/>
    <w:rsid w:val="40FA4F7A"/>
    <w:rsid w:val="41801923"/>
    <w:rsid w:val="41852ECE"/>
    <w:rsid w:val="42130A14"/>
    <w:rsid w:val="43420752"/>
    <w:rsid w:val="436D5ED7"/>
    <w:rsid w:val="43A917E1"/>
    <w:rsid w:val="43C156DA"/>
    <w:rsid w:val="44023B4A"/>
    <w:rsid w:val="44057542"/>
    <w:rsid w:val="44332120"/>
    <w:rsid w:val="44480717"/>
    <w:rsid w:val="44AC63E9"/>
    <w:rsid w:val="46226B63"/>
    <w:rsid w:val="46511CBF"/>
    <w:rsid w:val="46650534"/>
    <w:rsid w:val="47173CBF"/>
    <w:rsid w:val="47B265AF"/>
    <w:rsid w:val="48541414"/>
    <w:rsid w:val="48543647"/>
    <w:rsid w:val="488E1498"/>
    <w:rsid w:val="48B33638"/>
    <w:rsid w:val="48CB55C6"/>
    <w:rsid w:val="48D90CAD"/>
    <w:rsid w:val="49477D3A"/>
    <w:rsid w:val="49512BF7"/>
    <w:rsid w:val="49544966"/>
    <w:rsid w:val="49BB1EB8"/>
    <w:rsid w:val="4A8D4ABA"/>
    <w:rsid w:val="4ABE5659"/>
    <w:rsid w:val="4AF061D5"/>
    <w:rsid w:val="4AFC57DE"/>
    <w:rsid w:val="4CCE6112"/>
    <w:rsid w:val="4D0A2F51"/>
    <w:rsid w:val="4E304853"/>
    <w:rsid w:val="4E3844A7"/>
    <w:rsid w:val="4E454986"/>
    <w:rsid w:val="4EB805B5"/>
    <w:rsid w:val="4F3A16E7"/>
    <w:rsid w:val="4FC74BC1"/>
    <w:rsid w:val="506863A4"/>
    <w:rsid w:val="512377DF"/>
    <w:rsid w:val="5160707C"/>
    <w:rsid w:val="51F326E1"/>
    <w:rsid w:val="53625877"/>
    <w:rsid w:val="53F266B1"/>
    <w:rsid w:val="53FB3634"/>
    <w:rsid w:val="53FF5197"/>
    <w:rsid w:val="543A3BB4"/>
    <w:rsid w:val="54781E35"/>
    <w:rsid w:val="550B73D9"/>
    <w:rsid w:val="55B31438"/>
    <w:rsid w:val="568850AA"/>
    <w:rsid w:val="56D71B8E"/>
    <w:rsid w:val="57783AA4"/>
    <w:rsid w:val="57BE68AA"/>
    <w:rsid w:val="58613E05"/>
    <w:rsid w:val="5886047F"/>
    <w:rsid w:val="58951D01"/>
    <w:rsid w:val="59975605"/>
    <w:rsid w:val="5C1827CF"/>
    <w:rsid w:val="5CAC0BE1"/>
    <w:rsid w:val="5D3E405D"/>
    <w:rsid w:val="5D4B0BE0"/>
    <w:rsid w:val="5D5C4B9B"/>
    <w:rsid w:val="5DA90B12"/>
    <w:rsid w:val="5E161FB4"/>
    <w:rsid w:val="5F897FFB"/>
    <w:rsid w:val="5F921216"/>
    <w:rsid w:val="5FCC5B8B"/>
    <w:rsid w:val="600357A2"/>
    <w:rsid w:val="60896C0E"/>
    <w:rsid w:val="60F670B5"/>
    <w:rsid w:val="61577E9E"/>
    <w:rsid w:val="61AB4343"/>
    <w:rsid w:val="61D9780F"/>
    <w:rsid w:val="6223037D"/>
    <w:rsid w:val="62610BBD"/>
    <w:rsid w:val="6292369A"/>
    <w:rsid w:val="62B66AFB"/>
    <w:rsid w:val="62F13FD7"/>
    <w:rsid w:val="63A9762F"/>
    <w:rsid w:val="642F7C07"/>
    <w:rsid w:val="643E324C"/>
    <w:rsid w:val="64A01EB8"/>
    <w:rsid w:val="65A92947"/>
    <w:rsid w:val="665B0D53"/>
    <w:rsid w:val="668313EA"/>
    <w:rsid w:val="66C646B1"/>
    <w:rsid w:val="66F63506"/>
    <w:rsid w:val="67193AFD"/>
    <w:rsid w:val="67567154"/>
    <w:rsid w:val="67B051FD"/>
    <w:rsid w:val="6884276C"/>
    <w:rsid w:val="691A5E80"/>
    <w:rsid w:val="69230FC3"/>
    <w:rsid w:val="692B4588"/>
    <w:rsid w:val="699B6A4B"/>
    <w:rsid w:val="69A02C0D"/>
    <w:rsid w:val="69C42446"/>
    <w:rsid w:val="6A0D509F"/>
    <w:rsid w:val="6A146B9D"/>
    <w:rsid w:val="6AD67709"/>
    <w:rsid w:val="6B2813E2"/>
    <w:rsid w:val="6BA4668D"/>
    <w:rsid w:val="6C1333E3"/>
    <w:rsid w:val="6C554405"/>
    <w:rsid w:val="6C7864D8"/>
    <w:rsid w:val="6CA67BE1"/>
    <w:rsid w:val="6D5957F1"/>
    <w:rsid w:val="6DBD689D"/>
    <w:rsid w:val="6E114605"/>
    <w:rsid w:val="6E230A25"/>
    <w:rsid w:val="6E4F6056"/>
    <w:rsid w:val="6E70494A"/>
    <w:rsid w:val="6E9D3265"/>
    <w:rsid w:val="6F3C482C"/>
    <w:rsid w:val="6FC1690D"/>
    <w:rsid w:val="6FDA5069"/>
    <w:rsid w:val="701E3F32"/>
    <w:rsid w:val="70AC59E2"/>
    <w:rsid w:val="71530C3F"/>
    <w:rsid w:val="716449CA"/>
    <w:rsid w:val="716A04B8"/>
    <w:rsid w:val="71FA7527"/>
    <w:rsid w:val="73155AC0"/>
    <w:rsid w:val="73972979"/>
    <w:rsid w:val="739764D5"/>
    <w:rsid w:val="74784559"/>
    <w:rsid w:val="760D074D"/>
    <w:rsid w:val="76187FA1"/>
    <w:rsid w:val="7683312E"/>
    <w:rsid w:val="76960CC6"/>
    <w:rsid w:val="76D67314"/>
    <w:rsid w:val="77955421"/>
    <w:rsid w:val="780313AD"/>
    <w:rsid w:val="786D102C"/>
    <w:rsid w:val="792064E4"/>
    <w:rsid w:val="793B4942"/>
    <w:rsid w:val="79960FDD"/>
    <w:rsid w:val="79E1494E"/>
    <w:rsid w:val="7A6C06BC"/>
    <w:rsid w:val="7A6E32DC"/>
    <w:rsid w:val="7BBB10DA"/>
    <w:rsid w:val="7BF2699E"/>
    <w:rsid w:val="7C3D4373"/>
    <w:rsid w:val="7D284642"/>
    <w:rsid w:val="7D39684F"/>
    <w:rsid w:val="7D5B42AD"/>
    <w:rsid w:val="7DD84170"/>
    <w:rsid w:val="7DF87B8B"/>
    <w:rsid w:val="7E0429B9"/>
    <w:rsid w:val="7E0A5DEF"/>
    <w:rsid w:val="7E6165D9"/>
    <w:rsid w:val="7E623774"/>
    <w:rsid w:val="7ED76320"/>
    <w:rsid w:val="7F281712"/>
    <w:rsid w:val="7F7E5CBF"/>
    <w:rsid w:val="7F995383"/>
    <w:rsid w:val="7FA93818"/>
    <w:rsid w:val="7FF2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微软雅黑" w:hAnsi="微软雅黑" w:eastAsia="微软雅黑" w:cs="微软雅黑"/>
      <w:sz w:val="22"/>
      <w:szCs w:val="22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615</Words>
  <Characters>733</Characters>
  <Lines>6</Lines>
  <Paragraphs>1</Paragraphs>
  <TotalTime>7</TotalTime>
  <ScaleCrop>false</ScaleCrop>
  <LinksUpToDate>false</LinksUpToDate>
  <CharactersWithSpaces>754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2024-06-20T10:49:00Z</dcterms:created>
  <dc:creator>Davis</dc:creator>
  <cp:lastModifiedBy>戴眼镜的麻杆。</cp:lastModifiedBy>
  <cp:lastPrinted>2024-06-20T10:29:00Z</cp:lastPrinted>
  <dcterms:modified xsi:type="dcterms:W3CDTF">2026-04-09T05:46:08Z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AC17660576234BFC9969532312FCB7B6_13</vt:lpwstr>
  </property>
  <property fmtid="{D5CDD505-2E9C-101B-9397-08002B2CF9AE}" pid="4" name="KSOTemplateDocerSaveRecord">
    <vt:lpwstr>eyJoZGlkIjoiN2FkMmFjNTIzYTc2MzM4YzI5MjhhZjFlYzFlYTkyNWUiLCJ1c2VySWQiOiIxMTk5MzAzNjYzIn0=</vt:lpwstr>
  </property>
</Properties>
</file>