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5470E">
      <w:pPr>
        <w:spacing w:line="360" w:lineRule="auto"/>
        <w:jc w:val="center"/>
        <w:rPr>
          <w:rFonts w:hint="default" w:ascii="Arial" w:hAnsi="Arial" w:eastAsia="微软雅黑" w:cs="Arial"/>
          <w:b/>
          <w:bCs/>
          <w:sz w:val="32"/>
          <w:szCs w:val="32"/>
        </w:rPr>
      </w:pPr>
      <w:r>
        <w:rPr>
          <w:rFonts w:hint="default" w:ascii="Arial" w:hAnsi="Arial" w:eastAsia="微软雅黑" w:cs="Arial"/>
          <w:b/>
          <w:bCs/>
          <w:sz w:val="32"/>
          <w:szCs w:val="32"/>
        </w:rPr>
        <w:t>Product Technical Specification</w:t>
      </w:r>
    </w:p>
    <w:p w14:paraId="253D18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Introduction</w:t>
      </w:r>
    </w:p>
    <w:p w14:paraId="6143E7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CN-200B</w:t>
      </w:r>
      <w:r>
        <w:rPr>
          <w:rFonts w:hint="eastAsia" w:ascii="Arial" w:hAnsi="Arial" w:cs="Arial"/>
          <w:color w:val="000000"/>
          <w:kern w:val="0"/>
          <w:sz w:val="24"/>
          <w:szCs w:val="24"/>
          <w:bdr w:val="none" w:color="auto" w:sz="0" w:space="0"/>
          <w:lang w:val="en-US" w:eastAsia="zh-CN" w:bidi="ar"/>
        </w:rPr>
        <w:t xml:space="preserve"> Waterborne Polyurethane Dispersion</w:t>
      </w:r>
      <w:bookmarkStart w:id="0" w:name="_GoBack"/>
      <w:bookmarkEnd w:id="0"/>
      <w:r>
        <w:rPr>
          <w:rFonts w:hint="default" w:ascii="Arial" w:hAnsi="Arial" w:eastAsia="宋体" w:cs="Arial"/>
          <w:color w:val="000000"/>
          <w:kern w:val="0"/>
          <w:sz w:val="24"/>
          <w:szCs w:val="24"/>
          <w:bdr w:val="none" w:color="auto" w:sz="0" w:space="0"/>
          <w:lang w:val="en-US" w:eastAsia="zh-CN" w:bidi="ar"/>
        </w:rPr>
        <w:t xml:space="preserve"> is a high-performance aliphatic waterborne polyurethane resin. It is safe, non-toxic, odorless and non-irritating. The film is transparent, soft, full and highly elastic. It can be used as a waterborne adhesive for wood, paper, printing ink, etc., and also as a soft substrate coating for genuine leather, synthetic leather, textile printing, paper, etc. The environmental test results of this product meet the standards of Europe, America and Japan (environmental test report is available upon request).</w:t>
      </w:r>
    </w:p>
    <w:p w14:paraId="014BEA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p>
    <w:p w14:paraId="6791F8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0A6C7B64">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Eco-friendly emulsion, free of toxic substances such as formaldehyde, nonylphenol, heavy metals, polycyclic aromatic hydrocarbons (PAHs) and DMF.</w:t>
      </w:r>
    </w:p>
    <w:p w14:paraId="4ED52C79">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Transparent and full film with excellent flexibility.</w:t>
      </w:r>
    </w:p>
    <w:p w14:paraId="154940CE">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Excellent water resistance of the coating.</w:t>
      </w:r>
    </w:p>
    <w:p w14:paraId="079E34A8">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Hardness can be adjusted with our hard resins.</w:t>
      </w:r>
    </w:p>
    <w:p w14:paraId="58F4011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p>
    <w:p w14:paraId="72EF17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微软雅黑" w:cs="Arial"/>
          <w:b/>
          <w:bCs/>
          <w:sz w:val="28"/>
          <w:szCs w:val="28"/>
        </w:rPr>
      </w:pPr>
      <w:r>
        <w:rPr>
          <w:rFonts w:hint="default" w:ascii="Arial" w:hAnsi="Arial" w:cs="Arial"/>
          <w:color w:val="000000"/>
          <w:sz w:val="28"/>
          <w:szCs w:val="28"/>
        </w:rPr>
        <w:t>Technical Parameters*</w:t>
      </w:r>
    </w:p>
    <w:tbl>
      <w:tblPr>
        <w:tblStyle w:val="5"/>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5"/>
        <w:gridCol w:w="3654"/>
        <w:gridCol w:w="1205"/>
        <w:gridCol w:w="2602"/>
      </w:tblGrid>
      <w:tr w14:paraId="5463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2216" w:type="dxa"/>
            <w:tcBorders>
              <w:left w:val="nil"/>
              <w:bottom w:val="nil"/>
              <w:right w:val="nil"/>
            </w:tcBorders>
            <w:vAlign w:val="center"/>
          </w:tcPr>
          <w:p w14:paraId="42A5E7AD">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3655" w:type="dxa"/>
            <w:tcBorders>
              <w:top w:val="single" w:color="auto" w:sz="4" w:space="0"/>
              <w:left w:val="nil"/>
              <w:bottom w:val="nil"/>
              <w:right w:val="nil"/>
            </w:tcBorders>
            <w:vAlign w:val="center"/>
          </w:tcPr>
          <w:p w14:paraId="5A09E783">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1205" w:type="dxa"/>
            <w:tcBorders>
              <w:top w:val="single" w:color="auto" w:sz="4" w:space="0"/>
              <w:left w:val="nil"/>
              <w:bottom w:val="nil"/>
              <w:right w:val="nil"/>
            </w:tcBorders>
            <w:vAlign w:val="center"/>
          </w:tcPr>
          <w:p w14:paraId="5B937BB4">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602" w:type="dxa"/>
            <w:tcBorders>
              <w:top w:val="single" w:color="auto" w:sz="4" w:space="0"/>
              <w:left w:val="nil"/>
              <w:bottom w:val="nil"/>
              <w:right w:val="nil"/>
            </w:tcBorders>
            <w:vAlign w:val="center"/>
          </w:tcPr>
          <w:p w14:paraId="367DA9E8">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32A0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216" w:type="dxa"/>
            <w:tcBorders>
              <w:left w:val="nil"/>
              <w:bottom w:val="nil"/>
              <w:right w:val="nil"/>
            </w:tcBorders>
            <w:vAlign w:val="center"/>
          </w:tcPr>
          <w:p w14:paraId="7646628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3655" w:type="dxa"/>
            <w:tcBorders>
              <w:top w:val="single" w:color="auto" w:sz="4" w:space="0"/>
              <w:left w:val="nil"/>
              <w:bottom w:val="nil"/>
              <w:right w:val="nil"/>
            </w:tcBorders>
            <w:vAlign w:val="center"/>
          </w:tcPr>
          <w:p w14:paraId="1B6A556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Slightly transparent bluish liquid</w:t>
            </w:r>
          </w:p>
        </w:tc>
        <w:tc>
          <w:tcPr>
            <w:tcW w:w="1205" w:type="dxa"/>
            <w:tcBorders>
              <w:top w:val="single" w:color="auto" w:sz="4" w:space="0"/>
              <w:left w:val="nil"/>
              <w:bottom w:val="nil"/>
              <w:right w:val="nil"/>
            </w:tcBorders>
            <w:vAlign w:val="center"/>
          </w:tcPr>
          <w:p w14:paraId="4F87E5D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02" w:type="dxa"/>
            <w:tcBorders>
              <w:top w:val="single" w:color="auto" w:sz="4" w:space="0"/>
              <w:left w:val="nil"/>
              <w:bottom w:val="nil"/>
              <w:right w:val="nil"/>
            </w:tcBorders>
            <w:vAlign w:val="center"/>
          </w:tcPr>
          <w:p w14:paraId="097D5EF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081F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2216" w:type="dxa"/>
            <w:tcBorders>
              <w:top w:val="nil"/>
              <w:left w:val="nil"/>
              <w:bottom w:val="nil"/>
              <w:right w:val="nil"/>
            </w:tcBorders>
            <w:vAlign w:val="center"/>
          </w:tcPr>
          <w:p w14:paraId="68FE7CA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3655" w:type="dxa"/>
            <w:tcBorders>
              <w:top w:val="nil"/>
              <w:left w:val="nil"/>
              <w:bottom w:val="nil"/>
              <w:right w:val="nil"/>
            </w:tcBorders>
            <w:vAlign w:val="center"/>
          </w:tcPr>
          <w:p w14:paraId="534106C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30.00±0.50</w:t>
            </w:r>
          </w:p>
        </w:tc>
        <w:tc>
          <w:tcPr>
            <w:tcW w:w="1205" w:type="dxa"/>
            <w:tcBorders>
              <w:top w:val="nil"/>
              <w:left w:val="nil"/>
              <w:bottom w:val="nil"/>
              <w:right w:val="nil"/>
            </w:tcBorders>
            <w:vAlign w:val="center"/>
          </w:tcPr>
          <w:p w14:paraId="0DC3E95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02" w:type="dxa"/>
            <w:tcBorders>
              <w:top w:val="nil"/>
              <w:left w:val="nil"/>
              <w:bottom w:val="nil"/>
              <w:right w:val="nil"/>
            </w:tcBorders>
            <w:vAlign w:val="center"/>
          </w:tcPr>
          <w:p w14:paraId="5C902F7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16BFE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2216" w:type="dxa"/>
            <w:tcBorders>
              <w:top w:val="nil"/>
              <w:left w:val="nil"/>
              <w:bottom w:val="nil"/>
              <w:right w:val="nil"/>
            </w:tcBorders>
            <w:vAlign w:val="center"/>
          </w:tcPr>
          <w:p w14:paraId="72AC599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Elongation</w:t>
            </w:r>
          </w:p>
        </w:tc>
        <w:tc>
          <w:tcPr>
            <w:tcW w:w="3655" w:type="dxa"/>
            <w:tcBorders>
              <w:top w:val="nil"/>
              <w:left w:val="nil"/>
              <w:bottom w:val="nil"/>
              <w:right w:val="nil"/>
            </w:tcBorders>
            <w:vAlign w:val="center"/>
          </w:tcPr>
          <w:p w14:paraId="3AEFC55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1400–1600</w:t>
            </w:r>
          </w:p>
        </w:tc>
        <w:tc>
          <w:tcPr>
            <w:tcW w:w="1205" w:type="dxa"/>
            <w:tcBorders>
              <w:top w:val="nil"/>
              <w:left w:val="nil"/>
              <w:bottom w:val="nil"/>
              <w:right w:val="nil"/>
            </w:tcBorders>
            <w:vAlign w:val="center"/>
          </w:tcPr>
          <w:p w14:paraId="707012E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02" w:type="dxa"/>
            <w:tcBorders>
              <w:top w:val="nil"/>
              <w:left w:val="nil"/>
              <w:bottom w:val="nil"/>
              <w:right w:val="nil"/>
            </w:tcBorders>
            <w:vAlign w:val="center"/>
          </w:tcPr>
          <w:p w14:paraId="3409372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79EB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2216" w:type="dxa"/>
            <w:tcBorders>
              <w:top w:val="nil"/>
              <w:left w:val="nil"/>
              <w:bottom w:val="nil"/>
              <w:right w:val="nil"/>
            </w:tcBorders>
            <w:vAlign w:val="center"/>
          </w:tcPr>
          <w:p w14:paraId="5FEF41D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3655" w:type="dxa"/>
            <w:tcBorders>
              <w:top w:val="nil"/>
              <w:left w:val="nil"/>
              <w:bottom w:val="nil"/>
              <w:right w:val="nil"/>
            </w:tcBorders>
            <w:vAlign w:val="center"/>
          </w:tcPr>
          <w:p w14:paraId="5EE20A1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6.0–8.0</w:t>
            </w:r>
          </w:p>
        </w:tc>
        <w:tc>
          <w:tcPr>
            <w:tcW w:w="1205" w:type="dxa"/>
            <w:tcBorders>
              <w:top w:val="nil"/>
              <w:left w:val="nil"/>
              <w:bottom w:val="nil"/>
              <w:right w:val="nil"/>
            </w:tcBorders>
            <w:vAlign w:val="center"/>
          </w:tcPr>
          <w:p w14:paraId="610D7EB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02" w:type="dxa"/>
            <w:tcBorders>
              <w:top w:val="nil"/>
              <w:left w:val="nil"/>
              <w:bottom w:val="nil"/>
              <w:right w:val="nil"/>
            </w:tcBorders>
            <w:vAlign w:val="center"/>
          </w:tcPr>
          <w:p w14:paraId="4466592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54A46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2216" w:type="dxa"/>
            <w:tcBorders>
              <w:top w:val="nil"/>
              <w:left w:val="nil"/>
              <w:bottom w:val="nil"/>
              <w:right w:val="nil"/>
            </w:tcBorders>
            <w:vAlign w:val="center"/>
          </w:tcPr>
          <w:p w14:paraId="2067ACD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3655" w:type="dxa"/>
            <w:tcBorders>
              <w:top w:val="nil"/>
              <w:left w:val="nil"/>
              <w:bottom w:val="nil"/>
              <w:right w:val="nil"/>
            </w:tcBorders>
            <w:vAlign w:val="center"/>
          </w:tcPr>
          <w:p w14:paraId="08D52A9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1.0–1.5</w:t>
            </w:r>
          </w:p>
        </w:tc>
        <w:tc>
          <w:tcPr>
            <w:tcW w:w="1205" w:type="dxa"/>
            <w:tcBorders>
              <w:top w:val="nil"/>
              <w:left w:val="nil"/>
              <w:bottom w:val="nil"/>
              <w:right w:val="nil"/>
            </w:tcBorders>
            <w:vAlign w:val="center"/>
          </w:tcPr>
          <w:p w14:paraId="5D45470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602" w:type="dxa"/>
            <w:tcBorders>
              <w:top w:val="nil"/>
              <w:left w:val="nil"/>
              <w:bottom w:val="nil"/>
              <w:right w:val="nil"/>
            </w:tcBorders>
            <w:vAlign w:val="center"/>
          </w:tcPr>
          <w:p w14:paraId="688B89B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3112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216" w:type="dxa"/>
            <w:tcBorders>
              <w:top w:val="nil"/>
              <w:left w:val="nil"/>
              <w:right w:val="nil"/>
            </w:tcBorders>
            <w:vAlign w:val="center"/>
          </w:tcPr>
          <w:p w14:paraId="5169C6F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3655" w:type="dxa"/>
            <w:tcBorders>
              <w:top w:val="nil"/>
              <w:left w:val="nil"/>
              <w:right w:val="nil"/>
            </w:tcBorders>
            <w:vAlign w:val="center"/>
          </w:tcPr>
          <w:p w14:paraId="2AA3A81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8.0–10.0</w:t>
            </w:r>
          </w:p>
        </w:tc>
        <w:tc>
          <w:tcPr>
            <w:tcW w:w="1205" w:type="dxa"/>
            <w:tcBorders>
              <w:top w:val="nil"/>
              <w:left w:val="nil"/>
              <w:right w:val="nil"/>
            </w:tcBorders>
            <w:vAlign w:val="center"/>
          </w:tcPr>
          <w:p w14:paraId="712F6C5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602" w:type="dxa"/>
            <w:tcBorders>
              <w:top w:val="nil"/>
              <w:left w:val="nil"/>
              <w:right w:val="nil"/>
            </w:tcBorders>
            <w:vAlign w:val="center"/>
          </w:tcPr>
          <w:p w14:paraId="3DA460D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5635DF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*The above parameters are typical results only and shall not be regarded as specifications. Please refer to the actual COA for details.</w:t>
      </w:r>
    </w:p>
    <w:p w14:paraId="2AA35D6F">
      <w:pPr>
        <w:spacing w:line="400" w:lineRule="exact"/>
        <w:ind w:firstLine="480" w:firstLineChars="200"/>
        <w:rPr>
          <w:rFonts w:hint="default" w:ascii="Arial" w:hAnsi="Arial" w:eastAsia="微软雅黑" w:cs="Arial"/>
          <w:b/>
          <w:bCs/>
          <w:sz w:val="24"/>
          <w:szCs w:val="24"/>
        </w:rPr>
      </w:pPr>
    </w:p>
    <w:p w14:paraId="142AC8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Storage</w:t>
      </w:r>
    </w:p>
    <w:p w14:paraId="750A9B1E">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Store in the original sealed container.</w:t>
      </w:r>
    </w:p>
    <w:p w14:paraId="3E2CC0BA">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067ECAF7">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6784833D">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other substances.</w:t>
      </w:r>
    </w:p>
    <w:p w14:paraId="2BB2DA2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Arial" w:hAnsi="Arial" w:eastAsia="微软雅黑" w:cs="Arial"/>
          <w:sz w:val="24"/>
          <w:szCs w:val="24"/>
        </w:rPr>
      </w:pPr>
    </w:p>
    <w:p w14:paraId="22C76E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Arial" w:hAnsi="Arial" w:eastAsia="微软雅黑" w:cs="Arial"/>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5D3C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right w:val="nil"/>
            </w:tcBorders>
            <w:vAlign w:val="top"/>
          </w:tcPr>
          <w:p w14:paraId="5797071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Arial" w:hAnsi="Arial" w:eastAsia="微软雅黑" w:cs="Arial"/>
                <w:sz w:val="24"/>
                <w:szCs w:val="24"/>
              </w:rPr>
            </w:pPr>
            <w:r>
              <w:rPr>
                <w:rFonts w:hint="default" w:ascii="Arial" w:hAnsi="Arial" w:eastAsia="Segoe UI Emoji" w:cs="Arial"/>
                <w:i w:val="0"/>
                <w:iCs w:val="0"/>
                <w:caps w:val="0"/>
                <w:spacing w:val="0"/>
                <w:sz w:val="24"/>
                <w:szCs w:val="24"/>
              </w:rPr>
              <w:t>Prolonged storage at low temperature may cause irreversible damage to the product. Keep the container tightly sealed; otherwise, water evaporation will form an insoluble polymer film on the product surface. Expiry of the 6</w:t>
            </w:r>
            <w:r>
              <w:rPr>
                <w:rFonts w:hint="default" w:ascii="Arial" w:hAnsi="Arial" w:eastAsia="Segoe UI Emoji" w:cs="Arial"/>
                <w:i w:val="0"/>
                <w:iCs w:val="0"/>
                <w:caps w:val="0"/>
                <w:spacing w:val="0"/>
                <w:sz w:val="24"/>
                <w:szCs w:val="24"/>
              </w:rPr>
              <w:noBreakHyphen/>
            </w:r>
            <w:r>
              <w:rPr>
                <w:rFonts w:hint="default" w:ascii="Arial" w:hAnsi="Arial" w:eastAsia="Segoe UI Emoji" w:cs="Arial"/>
                <w:i w:val="0"/>
                <w:iCs w:val="0"/>
                <w:caps w:val="0"/>
                <w:spacing w:val="0"/>
                <w:sz w:val="24"/>
                <w:szCs w:val="24"/>
              </w:rPr>
              <w:t>month shelf life does not necessarily mean the product is out of specification. Please test before application to verify its compliance.</w:t>
            </w:r>
          </w:p>
        </w:tc>
      </w:tr>
    </w:tbl>
    <w:p w14:paraId="3ABAC729">
      <w:pPr>
        <w:spacing w:line="360" w:lineRule="auto"/>
        <w:rPr>
          <w:rFonts w:hint="default" w:ascii="Arial" w:hAnsi="Arial" w:eastAsia="微软雅黑" w:cs="Arial"/>
          <w:b/>
          <w:bCs/>
          <w:sz w:val="24"/>
          <w:szCs w:val="24"/>
        </w:rPr>
      </w:pPr>
    </w:p>
    <w:p w14:paraId="688C1D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Precautions</w:t>
      </w:r>
    </w:p>
    <w:p w14:paraId="7438DD0A">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 xml:space="preserve">Adding a curing </w:t>
      </w:r>
      <w:r>
        <w:rPr>
          <w:rFonts w:hint="default" w:ascii="Arial" w:hAnsi="Arial" w:cs="Arial"/>
          <w:color w:val="000000"/>
          <w:sz w:val="24"/>
          <w:szCs w:val="24"/>
        </w:rPr>
        <w:t>agent can improve fastness but may affect hand feel.</w:t>
      </w:r>
    </w:p>
    <w:p w14:paraId="12124C12">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Waterborne resin with crosslinking agent must be used within 24 hours.</w:t>
      </w:r>
    </w:p>
    <w:p w14:paraId="2DDD7C13">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This product is synthesized with special polyester; the dry film provides excellent water resistance. The waterborne emulsion may degrade during long-term storage, so p</w:t>
      </w:r>
      <w:r>
        <w:rPr>
          <w:rFonts w:hint="default" w:ascii="Arial" w:hAnsi="Arial" w:cs="Arial"/>
          <w:color w:val="000000"/>
          <w:sz w:val="24"/>
          <w:szCs w:val="24"/>
          <w:bdr w:val="none" w:color="auto" w:sz="0" w:space="0"/>
        </w:rPr>
        <w:t>re-testing is recommended before use.</w:t>
      </w:r>
    </w:p>
    <w:p w14:paraId="4E111E1F">
      <w:pPr>
        <w:keepNext w:val="0"/>
        <w:keepLines w:val="0"/>
        <w:pageBreakBefore w:val="0"/>
        <w:widowControl w:val="0"/>
        <w:tabs>
          <w:tab w:val="left" w:pos="720"/>
          <w:tab w:val="left" w:pos="1980"/>
        </w:tabs>
        <w:kinsoku/>
        <w:wordWrap/>
        <w:overflowPunct/>
        <w:topLinePunct w:val="0"/>
        <w:autoSpaceDE/>
        <w:autoSpaceDN/>
        <w:bidi w:val="0"/>
        <w:adjustRightInd/>
        <w:snapToGrid/>
        <w:spacing w:line="460" w:lineRule="exact"/>
        <w:ind w:firstLine="464" w:firstLineChars="200"/>
        <w:textAlignment w:val="auto"/>
        <w:rPr>
          <w:rFonts w:hint="default" w:ascii="Arial" w:hAnsi="Arial" w:eastAsia="微软雅黑" w:cs="Arial"/>
          <w:spacing w:val="-4"/>
          <w:sz w:val="24"/>
          <w:szCs w:val="24"/>
        </w:rPr>
      </w:pPr>
    </w:p>
    <w:tbl>
      <w:tblPr>
        <w:tblStyle w:val="6"/>
        <w:tblpPr w:leftFromText="180" w:rightFromText="180" w:vertAnchor="page" w:horzAnchor="page" w:tblpX="1440" w:tblpY="1406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22CE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3E7829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Arial" w:hAnsi="Arial" w:cs="Arial"/>
                <w:sz w:val="24"/>
                <w:szCs w:val="24"/>
              </w:rPr>
            </w:pPr>
            <w:r>
              <w:rPr>
                <w:rFonts w:hint="default" w:ascii="Arial" w:hAnsi="Arial" w:eastAsia="宋体" w:cs="Arial"/>
                <w:sz w:val="24"/>
                <w:szCs w:val="24"/>
              </w:rPr>
              <w:t>The above information reflects our internal quality evaluation results from laboratory testing. It is not a guarantee of product performance or suitability for specific applications. Please conduct necessary tests before application. Thank you for your choice and support!</w:t>
            </w:r>
          </w:p>
        </w:tc>
      </w:tr>
    </w:tbl>
    <w:p w14:paraId="042B717F">
      <w:pPr>
        <w:pStyle w:val="8"/>
        <w:rPr>
          <w:rFonts w:hint="default" w:ascii="Arial" w:hAnsi="Arial" w:eastAsia="微软雅黑" w:cs="Arial"/>
          <w:b/>
          <w:bCs/>
          <w:sz w:val="24"/>
          <w:szCs w:val="24"/>
        </w:rPr>
      </w:pPr>
    </w:p>
    <w:sectPr>
      <w:headerReference r:id="rId3" w:type="default"/>
      <w:footerReference r:id="rId4" w:type="default"/>
      <w:type w:val="continuous"/>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C3695">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CB7C7">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0BCB7C7">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2D8C6">
    <w:pPr>
      <w:pStyle w:val="4"/>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4398645</wp:posOffset>
              </wp:positionH>
              <wp:positionV relativeFrom="paragraph">
                <wp:posOffset>-17145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3EC6DA">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CN-200B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6.35pt;margin-top:-1.35pt;height:48.75pt;width:125.75pt;z-index:251659264;mso-width-relative:page;mso-height-relative:page;" filled="f" stroked="f" coordsize="21600,21600" o:gfxdata="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FejyDtoAAAAJAQAADwAAAAAAAAABACAAAAAiAAAAZHJz&#10;L2Rvd25yZXYueG1sUEsBAhQAFAAAAAgAh07iQEioBGs7AgAAZgQAAA4AAAAAAAAAAQAgAAAAKQEA&#10;AGRycy9lMm9Eb2MueG1sUEsFBgAAAAAGAAYAWQEAANYFAAAAAA==&#10;">
              <v:fill on="f" focussize="0,0"/>
              <v:stroke on="f" weight="0.5pt"/>
              <v:imagedata o:title=""/>
              <o:lock v:ext="edit" aspectratio="f"/>
              <v:textbox>
                <w:txbxContent>
                  <w:p w14:paraId="1F3EC6DA">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CN-200B</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column">
                <wp:posOffset>3701415</wp:posOffset>
              </wp:positionH>
              <wp:positionV relativeFrom="paragraph">
                <wp:posOffset>517525</wp:posOffset>
              </wp:positionV>
              <wp:extent cx="1828800" cy="44259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425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DD1012">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1.45pt;margin-top:40.75pt;height:34.85pt;width:144pt;mso-wrap-style:none;z-index:251660288;mso-width-relative:page;mso-height-relative:page;" filled="f" stroked="f" coordsize="21600,21600" o:gfxdata="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4V31LdsAAAAKAQAADwAAAAAAAAABACAAAAAiAAAAZHJz&#10;L2Rvd25yZXYueG1sUEsBAhQAFAAAAAgAh07iQLZMR/Y6AgAAZAQAAA4AAAAAAAAAAQAgAAAAKgEA&#10;AGRycy9lMm9Eb2MueG1sUEsFBgAAAAAGAAYAWQEAANYFAAAAAA==&#10;">
              <v:fill on="f" focussize="0,0"/>
              <v:stroke on="f" weight="0.5pt"/>
              <v:imagedata o:title=""/>
              <o:lock v:ext="edit" aspectratio="f"/>
              <v:textbox>
                <w:txbxContent>
                  <w:p w14:paraId="3EDD1012">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69D2FA52">
    <w:pPr>
      <w:pStyle w:val="4"/>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F7BDD9"/>
    <w:multiLevelType w:val="singleLevel"/>
    <w:tmpl w:val="89F7BDD9"/>
    <w:lvl w:ilvl="0" w:tentative="0">
      <w:start w:val="1"/>
      <w:numFmt w:val="decimal"/>
      <w:lvlText w:val="%1."/>
      <w:lvlJc w:val="left"/>
      <w:pPr>
        <w:ind w:left="425" w:hanging="425"/>
      </w:pPr>
      <w:rPr>
        <w:rFonts w:hint="default"/>
      </w:rPr>
    </w:lvl>
  </w:abstractNum>
  <w:abstractNum w:abstractNumId="1">
    <w:nsid w:val="0E44F8A9"/>
    <w:multiLevelType w:val="singleLevel"/>
    <w:tmpl w:val="0E44F8A9"/>
    <w:lvl w:ilvl="0" w:tentative="0">
      <w:start w:val="1"/>
      <w:numFmt w:val="decimal"/>
      <w:lvlText w:val="%1."/>
      <w:lvlJc w:val="left"/>
      <w:pPr>
        <w:ind w:left="425" w:hanging="425"/>
      </w:pPr>
      <w:rPr>
        <w:rFonts w:hint="default"/>
      </w:rPr>
    </w:lvl>
  </w:abstractNum>
  <w:abstractNum w:abstractNumId="2">
    <w:nsid w:val="5E19428D"/>
    <w:multiLevelType w:val="singleLevel"/>
    <w:tmpl w:val="5E19428D"/>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4443A"/>
    <w:rsid w:val="00046666"/>
    <w:rsid w:val="00136635"/>
    <w:rsid w:val="00156019"/>
    <w:rsid w:val="00200121"/>
    <w:rsid w:val="00261487"/>
    <w:rsid w:val="00264EA8"/>
    <w:rsid w:val="00296707"/>
    <w:rsid w:val="002F6D5B"/>
    <w:rsid w:val="003550AC"/>
    <w:rsid w:val="003B16AF"/>
    <w:rsid w:val="00455912"/>
    <w:rsid w:val="00505831"/>
    <w:rsid w:val="00527365"/>
    <w:rsid w:val="00596990"/>
    <w:rsid w:val="005A760D"/>
    <w:rsid w:val="005D2EFD"/>
    <w:rsid w:val="00867CB0"/>
    <w:rsid w:val="00912B14"/>
    <w:rsid w:val="0097112D"/>
    <w:rsid w:val="00977856"/>
    <w:rsid w:val="00A462C2"/>
    <w:rsid w:val="00B829A2"/>
    <w:rsid w:val="00BC2A51"/>
    <w:rsid w:val="00C138CF"/>
    <w:rsid w:val="00CB1423"/>
    <w:rsid w:val="00CE110F"/>
    <w:rsid w:val="00D33741"/>
    <w:rsid w:val="00D55D1D"/>
    <w:rsid w:val="00E64056"/>
    <w:rsid w:val="00EB567E"/>
    <w:rsid w:val="00F02A8D"/>
    <w:rsid w:val="00F253D2"/>
    <w:rsid w:val="00F930EE"/>
    <w:rsid w:val="011078C7"/>
    <w:rsid w:val="0183453D"/>
    <w:rsid w:val="01EF3980"/>
    <w:rsid w:val="02442FC2"/>
    <w:rsid w:val="03100052"/>
    <w:rsid w:val="04A94C9E"/>
    <w:rsid w:val="04AE7B23"/>
    <w:rsid w:val="052B4CCF"/>
    <w:rsid w:val="05720C57"/>
    <w:rsid w:val="064C714F"/>
    <w:rsid w:val="065F6521"/>
    <w:rsid w:val="06D931EF"/>
    <w:rsid w:val="070F7027"/>
    <w:rsid w:val="071F2385"/>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105AF6"/>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1B86D0E"/>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680881"/>
    <w:rsid w:val="5CAC0BE1"/>
    <w:rsid w:val="5D3E405D"/>
    <w:rsid w:val="5D4B0BE0"/>
    <w:rsid w:val="5D5C4B9B"/>
    <w:rsid w:val="5DA90B12"/>
    <w:rsid w:val="5DDC40A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5B52EA"/>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666</Words>
  <Characters>769</Characters>
  <Lines>45</Lines>
  <Paragraphs>49</Paragraphs>
  <TotalTime>0</TotalTime>
  <ScaleCrop>false</ScaleCrop>
  <LinksUpToDate>false</LinksUpToDate>
  <CharactersWithSpaces>784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2025-04-23T08:05:00Z</dcterms:created>
  <dc:creator>Davis</dc:creator>
  <cp:lastModifiedBy>戴眼镜的麻杆。</cp:lastModifiedBy>
  <cp:lastPrinted>2024-06-20T10:29:00Z</cp:lastPrinted>
  <dcterms:modified xsi:type="dcterms:W3CDTF">2026-04-10T01:53:24Z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42096E5CB9A049A5B09A91B126848B37_13</vt:lpwstr>
  </property>
  <property fmtid="{D5CDD505-2E9C-101B-9397-08002B2CF9AE}" pid="4" name="KSOTemplateDocerSaveRecord">
    <vt:lpwstr>eyJoZGlkIjoiN2FkMmFjNTIzYTc2MzM4YzI5MjhhZjFlYzFlYTkyNWUiLCJ1c2VySWQiOiIxMTk5MzAzNjYzIn0=</vt:lpwstr>
  </property>
</Properties>
</file>