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08CFA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rFonts w:hint="default" w:ascii="Arial" w:hAnsi="Arial" w:cs="Arial"/>
          <w:color w:val="000000"/>
          <w:sz w:val="32"/>
          <w:szCs w:val="32"/>
        </w:rPr>
      </w:pPr>
      <w:r>
        <w:rPr>
          <w:rFonts w:hint="default" w:ascii="Arial" w:hAnsi="Arial" w:cs="Arial"/>
          <w:color w:val="000000"/>
          <w:sz w:val="32"/>
          <w:szCs w:val="32"/>
          <w:bdr w:val="none" w:color="auto" w:sz="0" w:space="0"/>
        </w:rPr>
        <w:t>Product Technical Specification</w:t>
      </w:r>
    </w:p>
    <w:p w14:paraId="7EB381A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bdr w:val="none" w:color="auto" w:sz="0" w:space="0"/>
        </w:rPr>
        <w:t>Product Introduction</w:t>
      </w:r>
    </w:p>
    <w:p w14:paraId="0AD4CE4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0" w:right="0" w:firstLine="480" w:firstLineChars="200"/>
        <w:jc w:val="left"/>
        <w:textAlignment w:val="auto"/>
        <w:rPr>
          <w:rFonts w:hint="default" w:ascii="Arial" w:hAnsi="Arial" w:eastAsia="宋体" w:cs="Arial"/>
          <w:color w:val="000000"/>
          <w:kern w:val="0"/>
          <w:sz w:val="24"/>
          <w:szCs w:val="24"/>
          <w:bdr w:val="none" w:color="auto" w:sz="0" w:space="0"/>
          <w:lang w:val="en-US" w:eastAsia="zh-CN" w:bidi="ar"/>
        </w:rPr>
      </w:pPr>
      <w:r>
        <w:rPr>
          <w:rFonts w:hint="default" w:ascii="Arial" w:hAnsi="Arial" w:eastAsia="宋体" w:cs="Arial"/>
          <w:color w:val="000000"/>
          <w:kern w:val="0"/>
          <w:sz w:val="24"/>
          <w:szCs w:val="24"/>
          <w:bdr w:val="none" w:color="auto" w:sz="0" w:space="0"/>
          <w:lang w:val="en-US" w:eastAsia="zh-CN" w:bidi="ar"/>
        </w:rPr>
        <w:t>CN-6017 is an anionic waterborne polyurethane resin. It is safe and eco-friendly, with transparent film, smooth film formation, medium-hard non-tacky surface, and good temperature resistance and aging resistance. It can be used as a waterborne adhesive or coating for plastics (PVC, PC, ABS, etc.), paper, leather, etc.</w:t>
      </w:r>
    </w:p>
    <w:p w14:paraId="79AACD4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0" w:right="0" w:firstLine="480" w:firstLineChars="200"/>
        <w:jc w:val="left"/>
        <w:textAlignment w:val="auto"/>
        <w:rPr>
          <w:rFonts w:hint="default" w:ascii="Arial" w:hAnsi="Arial" w:eastAsia="宋体" w:cs="Arial"/>
          <w:color w:val="000000"/>
          <w:kern w:val="0"/>
          <w:sz w:val="24"/>
          <w:szCs w:val="24"/>
          <w:bdr w:val="none" w:color="auto" w:sz="0" w:space="0"/>
          <w:lang w:val="en-US" w:eastAsia="zh-CN" w:bidi="ar"/>
        </w:rPr>
      </w:pPr>
    </w:p>
    <w:p w14:paraId="68843CA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bdr w:val="none" w:color="auto" w:sz="0" w:space="0"/>
        </w:rPr>
        <w:t>Product Features</w:t>
      </w:r>
    </w:p>
    <w:p w14:paraId="76C2756B">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Transparent film, smooth film formation, medium-hard non-tacky surface, and excellent flexibility.</w:t>
      </w:r>
    </w:p>
    <w:p w14:paraId="59A27805">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Excellent water resistance and anti-blocking property of the coating.</w:t>
      </w:r>
    </w:p>
    <w:p w14:paraId="2A43A8AC">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Can be used with our company’s series of waterborne curing agents (CN-G118/120) to enhance resin performance.</w:t>
      </w:r>
    </w:p>
    <w:p w14:paraId="1BF2436D">
      <w:pPr>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Chars="0" w:right="0" w:rightChars="0"/>
        <w:jc w:val="left"/>
        <w:textAlignment w:val="auto"/>
        <w:rPr>
          <w:rFonts w:hint="default" w:ascii="Arial" w:hAnsi="Arial" w:cs="Arial"/>
          <w:color w:val="000000"/>
          <w:sz w:val="24"/>
          <w:szCs w:val="24"/>
        </w:rPr>
      </w:pPr>
    </w:p>
    <w:p w14:paraId="6F80A2D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eastAsia="微软雅黑" w:cs="Arial"/>
          <w:b/>
          <w:bCs/>
          <w:sz w:val="24"/>
          <w:szCs w:val="24"/>
        </w:rPr>
      </w:pPr>
      <w:r>
        <w:rPr>
          <w:rFonts w:hint="default" w:ascii="Arial" w:hAnsi="Arial" w:cs="Arial"/>
          <w:color w:val="000000"/>
          <w:sz w:val="28"/>
          <w:szCs w:val="28"/>
          <w:bdr w:val="none" w:color="auto" w:sz="0" w:space="0"/>
        </w:rPr>
        <w:t>Product Technical Parameters*</w:t>
      </w:r>
    </w:p>
    <w:tbl>
      <w:tblPr>
        <w:tblStyle w:val="6"/>
        <w:tblW w:w="88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40"/>
        <w:gridCol w:w="2388"/>
        <w:gridCol w:w="1360"/>
        <w:gridCol w:w="2571"/>
      </w:tblGrid>
      <w:tr w14:paraId="53481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2540" w:type="dxa"/>
            <w:tcBorders>
              <w:left w:val="nil"/>
              <w:bottom w:val="nil"/>
              <w:right w:val="nil"/>
            </w:tcBorders>
            <w:vAlign w:val="center"/>
          </w:tcPr>
          <w:p w14:paraId="34F4A9F7">
            <w:pPr>
              <w:keepNext w:val="0"/>
              <w:keepLines w:val="0"/>
              <w:widowControl/>
              <w:suppressLineNumbers w:val="0"/>
              <w:jc w:val="center"/>
              <w:rPr>
                <w:rFonts w:hint="default" w:ascii="Arial" w:hAnsi="Arial" w:eastAsia="微软雅黑" w:cs="Arial"/>
                <w:b/>
                <w:bCs/>
                <w:sz w:val="28"/>
                <w:szCs w:val="28"/>
              </w:rPr>
            </w:pPr>
            <w:r>
              <w:rPr>
                <w:rFonts w:hint="default" w:ascii="Arial" w:hAnsi="Arial" w:eastAsia="宋体" w:cs="Arial"/>
                <w:b/>
                <w:bCs/>
                <w:caps w:val="0"/>
                <w:spacing w:val="0"/>
                <w:kern w:val="0"/>
                <w:sz w:val="28"/>
                <w:szCs w:val="28"/>
                <w:lang w:val="en-US" w:eastAsia="zh-CN" w:bidi="ar"/>
              </w:rPr>
              <w:t>Item</w:t>
            </w:r>
          </w:p>
        </w:tc>
        <w:tc>
          <w:tcPr>
            <w:tcW w:w="2388" w:type="dxa"/>
            <w:tcBorders>
              <w:top w:val="single" w:color="auto" w:sz="4" w:space="0"/>
              <w:left w:val="nil"/>
              <w:bottom w:val="nil"/>
              <w:right w:val="nil"/>
            </w:tcBorders>
            <w:vAlign w:val="center"/>
          </w:tcPr>
          <w:p w14:paraId="29292CB1">
            <w:pPr>
              <w:keepNext w:val="0"/>
              <w:keepLines w:val="0"/>
              <w:widowControl/>
              <w:suppressLineNumbers w:val="0"/>
              <w:jc w:val="center"/>
              <w:rPr>
                <w:rFonts w:hint="default" w:ascii="Arial" w:hAnsi="Arial" w:eastAsia="微软雅黑" w:cs="Arial"/>
                <w:b/>
                <w:bCs/>
                <w:sz w:val="28"/>
                <w:szCs w:val="28"/>
              </w:rPr>
            </w:pPr>
            <w:r>
              <w:rPr>
                <w:rFonts w:hint="default" w:ascii="Arial" w:hAnsi="Arial" w:eastAsia="宋体" w:cs="Arial"/>
                <w:b/>
                <w:bCs/>
                <w:caps w:val="0"/>
                <w:spacing w:val="0"/>
                <w:kern w:val="0"/>
                <w:sz w:val="28"/>
                <w:szCs w:val="28"/>
                <w:lang w:val="en-US" w:eastAsia="zh-CN" w:bidi="ar"/>
              </w:rPr>
              <w:t>Parameter</w:t>
            </w:r>
          </w:p>
        </w:tc>
        <w:tc>
          <w:tcPr>
            <w:tcW w:w="1360" w:type="dxa"/>
            <w:tcBorders>
              <w:top w:val="single" w:color="auto" w:sz="4" w:space="0"/>
              <w:left w:val="nil"/>
              <w:bottom w:val="nil"/>
              <w:right w:val="nil"/>
            </w:tcBorders>
            <w:vAlign w:val="center"/>
          </w:tcPr>
          <w:p w14:paraId="2BA4527A">
            <w:pPr>
              <w:keepNext w:val="0"/>
              <w:keepLines w:val="0"/>
              <w:widowControl/>
              <w:suppressLineNumbers w:val="0"/>
              <w:jc w:val="center"/>
              <w:rPr>
                <w:rFonts w:hint="default" w:ascii="Arial" w:hAnsi="Arial" w:eastAsia="微软雅黑" w:cs="Arial"/>
                <w:b/>
                <w:bCs/>
                <w:sz w:val="28"/>
                <w:szCs w:val="28"/>
              </w:rPr>
            </w:pPr>
            <w:r>
              <w:rPr>
                <w:rFonts w:hint="default" w:ascii="Arial" w:hAnsi="Arial" w:eastAsia="宋体" w:cs="Arial"/>
                <w:b/>
                <w:bCs/>
                <w:caps w:val="0"/>
                <w:spacing w:val="0"/>
                <w:kern w:val="0"/>
                <w:sz w:val="28"/>
                <w:szCs w:val="28"/>
                <w:lang w:val="en-US" w:eastAsia="zh-CN" w:bidi="ar"/>
              </w:rPr>
              <w:t>Unit</w:t>
            </w:r>
          </w:p>
        </w:tc>
        <w:tc>
          <w:tcPr>
            <w:tcW w:w="2571" w:type="dxa"/>
            <w:tcBorders>
              <w:top w:val="single" w:color="auto" w:sz="4" w:space="0"/>
              <w:left w:val="nil"/>
              <w:bottom w:val="nil"/>
              <w:right w:val="nil"/>
            </w:tcBorders>
            <w:vAlign w:val="center"/>
          </w:tcPr>
          <w:p w14:paraId="59FCD36F">
            <w:pPr>
              <w:keepNext w:val="0"/>
              <w:keepLines w:val="0"/>
              <w:widowControl/>
              <w:suppressLineNumbers w:val="0"/>
              <w:jc w:val="center"/>
              <w:rPr>
                <w:rFonts w:hint="default" w:ascii="Arial" w:hAnsi="Arial" w:eastAsia="微软雅黑" w:cs="Arial"/>
                <w:b/>
                <w:bCs/>
                <w:sz w:val="28"/>
                <w:szCs w:val="28"/>
              </w:rPr>
            </w:pPr>
            <w:r>
              <w:rPr>
                <w:rFonts w:hint="default" w:ascii="Arial" w:hAnsi="Arial" w:eastAsia="宋体" w:cs="Arial"/>
                <w:b/>
                <w:bCs/>
                <w:caps w:val="0"/>
                <w:spacing w:val="0"/>
                <w:kern w:val="0"/>
                <w:sz w:val="28"/>
                <w:szCs w:val="28"/>
                <w:lang w:val="en-US" w:eastAsia="zh-CN" w:bidi="ar"/>
              </w:rPr>
              <w:t>Test Method</w:t>
            </w:r>
          </w:p>
        </w:tc>
      </w:tr>
      <w:tr w14:paraId="29F4C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2540" w:type="dxa"/>
            <w:tcBorders>
              <w:left w:val="nil"/>
              <w:bottom w:val="nil"/>
              <w:right w:val="nil"/>
            </w:tcBorders>
            <w:vAlign w:val="center"/>
          </w:tcPr>
          <w:p w14:paraId="1096BE26">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Appearance</w:t>
            </w:r>
          </w:p>
        </w:tc>
        <w:tc>
          <w:tcPr>
            <w:tcW w:w="2388" w:type="dxa"/>
            <w:tcBorders>
              <w:top w:val="single" w:color="auto" w:sz="4" w:space="0"/>
              <w:left w:val="nil"/>
              <w:bottom w:val="nil"/>
              <w:right w:val="nil"/>
            </w:tcBorders>
            <w:vAlign w:val="center"/>
          </w:tcPr>
          <w:p w14:paraId="02097D7E">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Bluish liquid</w:t>
            </w:r>
          </w:p>
        </w:tc>
        <w:tc>
          <w:tcPr>
            <w:tcW w:w="1360" w:type="dxa"/>
            <w:tcBorders>
              <w:top w:val="single" w:color="auto" w:sz="4" w:space="0"/>
              <w:left w:val="nil"/>
              <w:bottom w:val="nil"/>
              <w:right w:val="nil"/>
            </w:tcBorders>
            <w:vAlign w:val="center"/>
          </w:tcPr>
          <w:p w14:paraId="411FFB67">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c>
          <w:tcPr>
            <w:tcW w:w="2571" w:type="dxa"/>
            <w:tcBorders>
              <w:top w:val="single" w:color="auto" w:sz="4" w:space="0"/>
              <w:left w:val="nil"/>
              <w:bottom w:val="nil"/>
              <w:right w:val="nil"/>
            </w:tcBorders>
            <w:vAlign w:val="center"/>
          </w:tcPr>
          <w:p w14:paraId="02FC73D8">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GB/T 14074.1-1993</w:t>
            </w:r>
          </w:p>
        </w:tc>
      </w:tr>
      <w:tr w14:paraId="13D88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540" w:type="dxa"/>
            <w:tcBorders>
              <w:top w:val="nil"/>
              <w:left w:val="nil"/>
              <w:bottom w:val="nil"/>
              <w:right w:val="nil"/>
            </w:tcBorders>
            <w:vAlign w:val="center"/>
          </w:tcPr>
          <w:p w14:paraId="2F4DC372">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Solid Content</w:t>
            </w:r>
          </w:p>
        </w:tc>
        <w:tc>
          <w:tcPr>
            <w:tcW w:w="2388" w:type="dxa"/>
            <w:tcBorders>
              <w:top w:val="nil"/>
              <w:left w:val="nil"/>
              <w:bottom w:val="nil"/>
              <w:right w:val="nil"/>
            </w:tcBorders>
            <w:vAlign w:val="center"/>
          </w:tcPr>
          <w:p w14:paraId="554FBC5D">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36.00±1.00</w:t>
            </w:r>
          </w:p>
        </w:tc>
        <w:tc>
          <w:tcPr>
            <w:tcW w:w="1360" w:type="dxa"/>
            <w:tcBorders>
              <w:top w:val="nil"/>
              <w:left w:val="nil"/>
              <w:bottom w:val="nil"/>
              <w:right w:val="nil"/>
            </w:tcBorders>
            <w:vAlign w:val="center"/>
          </w:tcPr>
          <w:p w14:paraId="6EFA0E5B">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c>
          <w:tcPr>
            <w:tcW w:w="2571" w:type="dxa"/>
            <w:tcBorders>
              <w:top w:val="nil"/>
              <w:left w:val="nil"/>
              <w:bottom w:val="nil"/>
              <w:right w:val="nil"/>
            </w:tcBorders>
            <w:vAlign w:val="center"/>
          </w:tcPr>
          <w:p w14:paraId="0A059958">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GB/T 2793-1995</w:t>
            </w:r>
          </w:p>
        </w:tc>
      </w:tr>
      <w:tr w14:paraId="56DC7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540" w:type="dxa"/>
            <w:tcBorders>
              <w:top w:val="nil"/>
              <w:left w:val="nil"/>
              <w:bottom w:val="nil"/>
              <w:right w:val="nil"/>
            </w:tcBorders>
            <w:vAlign w:val="center"/>
          </w:tcPr>
          <w:p w14:paraId="74ED23ED">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Viscosity (25℃)</w:t>
            </w:r>
          </w:p>
        </w:tc>
        <w:tc>
          <w:tcPr>
            <w:tcW w:w="2388" w:type="dxa"/>
            <w:tcBorders>
              <w:top w:val="nil"/>
              <w:left w:val="nil"/>
              <w:bottom w:val="nil"/>
              <w:right w:val="nil"/>
            </w:tcBorders>
            <w:vAlign w:val="center"/>
          </w:tcPr>
          <w:p w14:paraId="4888256C">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100–4000</w:t>
            </w:r>
          </w:p>
        </w:tc>
        <w:tc>
          <w:tcPr>
            <w:tcW w:w="1360" w:type="dxa"/>
            <w:tcBorders>
              <w:top w:val="nil"/>
              <w:left w:val="nil"/>
              <w:bottom w:val="nil"/>
              <w:right w:val="nil"/>
            </w:tcBorders>
            <w:vAlign w:val="center"/>
          </w:tcPr>
          <w:p w14:paraId="2A10707C">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mPa·s</w:t>
            </w:r>
          </w:p>
        </w:tc>
        <w:tc>
          <w:tcPr>
            <w:tcW w:w="2571" w:type="dxa"/>
            <w:tcBorders>
              <w:top w:val="nil"/>
              <w:left w:val="nil"/>
              <w:bottom w:val="nil"/>
              <w:right w:val="nil"/>
            </w:tcBorders>
            <w:vAlign w:val="center"/>
          </w:tcPr>
          <w:p w14:paraId="53B80D21">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GB/T 10247-1998</w:t>
            </w:r>
          </w:p>
        </w:tc>
      </w:tr>
      <w:tr w14:paraId="6F9F9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540" w:type="dxa"/>
            <w:tcBorders>
              <w:top w:val="nil"/>
              <w:left w:val="nil"/>
              <w:bottom w:val="nil"/>
              <w:right w:val="nil"/>
            </w:tcBorders>
            <w:vAlign w:val="center"/>
          </w:tcPr>
          <w:p w14:paraId="635F5C04">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pH</w:t>
            </w:r>
          </w:p>
        </w:tc>
        <w:tc>
          <w:tcPr>
            <w:tcW w:w="2388" w:type="dxa"/>
            <w:tcBorders>
              <w:top w:val="nil"/>
              <w:left w:val="nil"/>
              <w:bottom w:val="nil"/>
              <w:right w:val="nil"/>
            </w:tcBorders>
            <w:vAlign w:val="center"/>
          </w:tcPr>
          <w:p w14:paraId="5C59EDFA">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6.5–7.5</w:t>
            </w:r>
          </w:p>
        </w:tc>
        <w:tc>
          <w:tcPr>
            <w:tcW w:w="1360" w:type="dxa"/>
            <w:tcBorders>
              <w:top w:val="nil"/>
              <w:left w:val="nil"/>
              <w:bottom w:val="nil"/>
              <w:right w:val="nil"/>
            </w:tcBorders>
            <w:vAlign w:val="center"/>
          </w:tcPr>
          <w:p w14:paraId="010B7893">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c>
          <w:tcPr>
            <w:tcW w:w="2571" w:type="dxa"/>
            <w:tcBorders>
              <w:top w:val="nil"/>
              <w:left w:val="nil"/>
              <w:bottom w:val="nil"/>
              <w:right w:val="nil"/>
            </w:tcBorders>
            <w:vAlign w:val="center"/>
          </w:tcPr>
          <w:p w14:paraId="301D5055">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GB/T 14518-1993</w:t>
            </w:r>
          </w:p>
        </w:tc>
      </w:tr>
      <w:tr w14:paraId="728E0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540" w:type="dxa"/>
            <w:tcBorders>
              <w:top w:val="nil"/>
              <w:left w:val="nil"/>
              <w:bottom w:val="nil"/>
              <w:right w:val="nil"/>
            </w:tcBorders>
            <w:vAlign w:val="center"/>
          </w:tcPr>
          <w:p w14:paraId="588FB7C0">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100% Modulus</w:t>
            </w:r>
          </w:p>
        </w:tc>
        <w:tc>
          <w:tcPr>
            <w:tcW w:w="2388" w:type="dxa"/>
            <w:tcBorders>
              <w:top w:val="nil"/>
              <w:left w:val="nil"/>
              <w:bottom w:val="nil"/>
              <w:right w:val="nil"/>
            </w:tcBorders>
            <w:vAlign w:val="center"/>
          </w:tcPr>
          <w:p w14:paraId="1C89375D">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3.0–5.0</w:t>
            </w:r>
          </w:p>
        </w:tc>
        <w:tc>
          <w:tcPr>
            <w:tcW w:w="1360" w:type="dxa"/>
            <w:tcBorders>
              <w:top w:val="nil"/>
              <w:left w:val="nil"/>
              <w:bottom w:val="nil"/>
              <w:right w:val="nil"/>
            </w:tcBorders>
            <w:vAlign w:val="center"/>
          </w:tcPr>
          <w:p w14:paraId="571DB2DD">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MPa</w:t>
            </w:r>
          </w:p>
        </w:tc>
        <w:tc>
          <w:tcPr>
            <w:tcW w:w="2571" w:type="dxa"/>
            <w:tcBorders>
              <w:top w:val="nil"/>
              <w:left w:val="nil"/>
              <w:bottom w:val="nil"/>
              <w:right w:val="nil"/>
            </w:tcBorders>
            <w:vAlign w:val="center"/>
          </w:tcPr>
          <w:p w14:paraId="2963BE73">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r>
      <w:tr w14:paraId="24DDA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540" w:type="dxa"/>
            <w:tcBorders>
              <w:top w:val="nil"/>
              <w:left w:val="nil"/>
              <w:bottom w:val="nil"/>
              <w:right w:val="nil"/>
            </w:tcBorders>
            <w:vAlign w:val="center"/>
          </w:tcPr>
          <w:p w14:paraId="4D98D2AB">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Tensile Strength</w:t>
            </w:r>
          </w:p>
        </w:tc>
        <w:tc>
          <w:tcPr>
            <w:tcW w:w="2388" w:type="dxa"/>
            <w:tcBorders>
              <w:top w:val="nil"/>
              <w:left w:val="nil"/>
              <w:bottom w:val="nil"/>
              <w:right w:val="nil"/>
            </w:tcBorders>
            <w:vAlign w:val="center"/>
          </w:tcPr>
          <w:p w14:paraId="7AD6D2F1">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28.0–30.0</w:t>
            </w:r>
          </w:p>
        </w:tc>
        <w:tc>
          <w:tcPr>
            <w:tcW w:w="1360" w:type="dxa"/>
            <w:tcBorders>
              <w:top w:val="nil"/>
              <w:left w:val="nil"/>
              <w:bottom w:val="nil"/>
              <w:right w:val="nil"/>
            </w:tcBorders>
            <w:vAlign w:val="center"/>
          </w:tcPr>
          <w:p w14:paraId="1E676C2D">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MPa</w:t>
            </w:r>
          </w:p>
        </w:tc>
        <w:tc>
          <w:tcPr>
            <w:tcW w:w="2571" w:type="dxa"/>
            <w:tcBorders>
              <w:top w:val="nil"/>
              <w:left w:val="nil"/>
              <w:bottom w:val="nil"/>
              <w:right w:val="nil"/>
            </w:tcBorders>
            <w:vAlign w:val="center"/>
          </w:tcPr>
          <w:p w14:paraId="00ADC14F">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r>
      <w:tr w14:paraId="2D4A6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2540" w:type="dxa"/>
            <w:tcBorders>
              <w:top w:val="nil"/>
              <w:left w:val="nil"/>
              <w:right w:val="nil"/>
            </w:tcBorders>
            <w:vAlign w:val="center"/>
          </w:tcPr>
          <w:p w14:paraId="788CB922">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Elongation at Break</w:t>
            </w:r>
          </w:p>
        </w:tc>
        <w:tc>
          <w:tcPr>
            <w:tcW w:w="2388" w:type="dxa"/>
            <w:tcBorders>
              <w:top w:val="nil"/>
              <w:left w:val="nil"/>
              <w:right w:val="nil"/>
            </w:tcBorders>
            <w:vAlign w:val="center"/>
          </w:tcPr>
          <w:p w14:paraId="300E1C6E">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200–280</w:t>
            </w:r>
          </w:p>
        </w:tc>
        <w:tc>
          <w:tcPr>
            <w:tcW w:w="1360" w:type="dxa"/>
            <w:tcBorders>
              <w:top w:val="nil"/>
              <w:left w:val="nil"/>
              <w:right w:val="nil"/>
            </w:tcBorders>
            <w:vAlign w:val="center"/>
          </w:tcPr>
          <w:p w14:paraId="0E79A4CF">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c>
          <w:tcPr>
            <w:tcW w:w="2571" w:type="dxa"/>
            <w:tcBorders>
              <w:top w:val="nil"/>
              <w:left w:val="nil"/>
              <w:right w:val="nil"/>
            </w:tcBorders>
            <w:vAlign w:val="center"/>
          </w:tcPr>
          <w:p w14:paraId="3365757B">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r>
    </w:tbl>
    <w:p w14:paraId="1C6D30F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default" w:ascii="Arial" w:hAnsi="Arial" w:cs="Arial"/>
          <w:color w:val="000000"/>
          <w:sz w:val="24"/>
          <w:szCs w:val="24"/>
        </w:rPr>
      </w:pPr>
      <w:r>
        <w:rPr>
          <w:rFonts w:hint="default" w:ascii="Arial" w:hAnsi="Arial" w:eastAsia="宋体" w:cs="Arial"/>
          <w:color w:val="000000"/>
          <w:kern w:val="0"/>
          <w:sz w:val="24"/>
          <w:szCs w:val="24"/>
          <w:bdr w:val="none" w:color="auto" w:sz="0" w:space="0"/>
          <w:lang w:val="en-US" w:eastAsia="zh-CN" w:bidi="ar"/>
        </w:rPr>
        <w:t>*The above parameters represent typical results only and shall not be regarded as specifications. Refer to the actual COA for details.</w:t>
      </w:r>
    </w:p>
    <w:p w14:paraId="63AB0A6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bdr w:val="none" w:color="auto" w:sz="0" w:space="0"/>
        </w:rPr>
      </w:pPr>
    </w:p>
    <w:p w14:paraId="30197C6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bdr w:val="none" w:color="auto" w:sz="0" w:space="0"/>
        </w:rPr>
        <w:t>Storage</w:t>
      </w:r>
    </w:p>
    <w:p w14:paraId="7393B905">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Store in the original sealed container.</w:t>
      </w:r>
    </w:p>
    <w:p w14:paraId="43283181">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Recommended storage temperature: 6–28 °C.</w:t>
      </w:r>
    </w:p>
    <w:p w14:paraId="7358E51E">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Use within 6 months from the production date.</w:t>
      </w:r>
    </w:p>
    <w:p w14:paraId="798ADDC6">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Avoid direct sunlight and contamination by other substances.</w:t>
      </w:r>
    </w:p>
    <w:p w14:paraId="290A27C3">
      <w:pPr>
        <w:spacing w:line="360" w:lineRule="auto"/>
        <w:ind w:firstLine="480"/>
        <w:rPr>
          <w:rFonts w:hint="default" w:ascii="Arial" w:hAnsi="Arial" w:eastAsia="微软雅黑" w:cs="Arial"/>
          <w:sz w:val="24"/>
          <w:szCs w:val="24"/>
        </w:rPr>
      </w:pPr>
    </w:p>
    <w:tbl>
      <w:tblPr>
        <w:tblStyle w:val="7"/>
        <w:tblW w:w="0" w:type="auto"/>
        <w:tblInd w:w="1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9"/>
      </w:tblGrid>
      <w:tr w14:paraId="076C3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49" w:type="dxa"/>
            <w:tcBorders>
              <w:left w:val="nil"/>
              <w:bottom w:val="nil"/>
              <w:right w:val="nil"/>
            </w:tcBorders>
          </w:tcPr>
          <w:p w14:paraId="05A43404">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ascii="Arial" w:hAnsi="Arial" w:eastAsia="微软雅黑" w:cs="Arial"/>
                <w:sz w:val="24"/>
                <w:szCs w:val="24"/>
              </w:rPr>
            </w:pPr>
            <w:r>
              <w:rPr>
                <w:rFonts w:hint="default" w:ascii="Arial" w:hAnsi="Arial" w:eastAsia="宋体" w:cs="Arial"/>
                <w:sz w:val="24"/>
                <w:szCs w:val="24"/>
              </w:rPr>
              <w:t>Prolonged storage at low temperatures may cause irreversible damage to the product. Keep the container sealed; otherwise, water evaporation will form an insoluble polymer film on the surface. Expiration of the 6-month shelf life does not mean the product is out of specification. Test before use to verify compliance with specifications and technical parameters.</w:t>
            </w:r>
          </w:p>
        </w:tc>
      </w:tr>
    </w:tbl>
    <w:p w14:paraId="5EA91498">
      <w:pPr>
        <w:spacing w:line="360" w:lineRule="auto"/>
        <w:rPr>
          <w:rFonts w:hint="default" w:ascii="Arial" w:hAnsi="Arial" w:eastAsia="微软雅黑" w:cs="Arial"/>
          <w:b/>
          <w:bCs/>
          <w:sz w:val="24"/>
          <w:szCs w:val="24"/>
        </w:rPr>
      </w:pPr>
    </w:p>
    <w:p w14:paraId="47A6ACD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bdr w:val="none" w:color="auto" w:sz="0" w:space="0"/>
        </w:rPr>
        <w:t>Precautions</w:t>
      </w:r>
    </w:p>
    <w:p w14:paraId="6108248D">
      <w:pPr>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Adding a curing agent can improve fastness but may affect hand feel.</w:t>
      </w:r>
    </w:p>
    <w:p w14:paraId="34B011E4">
      <w:pPr>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Waterborne resin added with crosslinking agent must be used within 24 hours.</w:t>
      </w:r>
    </w:p>
    <w:p w14:paraId="114733BA">
      <w:pPr>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This product is an anionic resin. Do not mix with other cationic resins or additives. Our polyurethane thickener can be used to adjust emulsion viscosity.</w:t>
      </w:r>
    </w:p>
    <w:p w14:paraId="3943D9C7">
      <w:pPr>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This product is synthesized with special materials. The dry film offers excellent water resistance. However, the aqueous emulsion may decompose during long-term storage. Please test in advance before using long-stored product.</w:t>
      </w:r>
    </w:p>
    <w:p w14:paraId="618BCB99">
      <w:pPr>
        <w:tabs>
          <w:tab w:val="left" w:pos="720"/>
          <w:tab w:val="left" w:pos="1980"/>
        </w:tabs>
        <w:spacing w:line="360" w:lineRule="auto"/>
        <w:ind w:firstLine="464" w:firstLineChars="200"/>
        <w:rPr>
          <w:rFonts w:hint="default" w:ascii="Arial" w:hAnsi="Arial" w:eastAsia="微软雅黑" w:cs="Arial"/>
          <w:spacing w:val="-4"/>
          <w:sz w:val="24"/>
          <w:szCs w:val="24"/>
        </w:rPr>
      </w:pPr>
    </w:p>
    <w:p w14:paraId="4B0E92EF">
      <w:pPr>
        <w:tabs>
          <w:tab w:val="left" w:pos="720"/>
          <w:tab w:val="left" w:pos="1980"/>
        </w:tabs>
        <w:spacing w:line="360" w:lineRule="auto"/>
        <w:ind w:firstLine="1681" w:firstLineChars="700"/>
        <w:rPr>
          <w:rFonts w:hint="default" w:ascii="Arial" w:hAnsi="Arial" w:eastAsia="微软雅黑" w:cs="Arial"/>
          <w:b/>
          <w:bCs/>
          <w:sz w:val="24"/>
          <w:szCs w:val="24"/>
        </w:rPr>
      </w:pPr>
    </w:p>
    <w:p w14:paraId="0927B950">
      <w:pPr>
        <w:tabs>
          <w:tab w:val="left" w:pos="720"/>
          <w:tab w:val="left" w:pos="1980"/>
        </w:tabs>
        <w:spacing w:line="360" w:lineRule="auto"/>
        <w:ind w:firstLine="1681" w:firstLineChars="700"/>
        <w:rPr>
          <w:rFonts w:hint="default" w:ascii="Arial" w:hAnsi="Arial" w:eastAsia="微软雅黑" w:cs="Arial"/>
          <w:b/>
          <w:bCs/>
          <w:sz w:val="24"/>
          <w:szCs w:val="24"/>
        </w:rPr>
      </w:pPr>
    </w:p>
    <w:p w14:paraId="53FCE769">
      <w:pPr>
        <w:tabs>
          <w:tab w:val="left" w:pos="720"/>
          <w:tab w:val="left" w:pos="1980"/>
        </w:tabs>
        <w:spacing w:line="360" w:lineRule="auto"/>
        <w:rPr>
          <w:rFonts w:hint="default" w:ascii="Arial" w:hAnsi="Arial" w:eastAsia="微软雅黑" w:cs="Arial"/>
          <w:spacing w:val="-4"/>
          <w:sz w:val="24"/>
          <w:szCs w:val="24"/>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8"/>
      </w:tblGrid>
      <w:tr w14:paraId="35B1F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8" w:type="dxa"/>
            <w:tcBorders>
              <w:left w:val="nil"/>
              <w:bottom w:val="nil"/>
              <w:right w:val="nil"/>
            </w:tcBorders>
          </w:tcPr>
          <w:p w14:paraId="28468D93">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ascii="Arial" w:hAnsi="Arial" w:eastAsia="微软雅黑" w:cs="Arial"/>
                <w:b/>
                <w:bCs/>
                <w:sz w:val="24"/>
                <w:szCs w:val="24"/>
              </w:rPr>
            </w:pPr>
            <w:r>
              <w:rPr>
                <w:rFonts w:hint="default" w:ascii="Arial" w:hAnsi="Arial" w:eastAsia="宋体" w:cs="Arial"/>
                <w:sz w:val="24"/>
                <w:szCs w:val="24"/>
              </w:rPr>
              <w:t>The above information only represents our laboratory quality evaluation results and does not guarantee the product’s performance or suitability for specific applications. Please conduct necessary tests before use. Thank you for your choice and support!</w:t>
            </w:r>
          </w:p>
        </w:tc>
      </w:tr>
    </w:tbl>
    <w:p w14:paraId="34495EE1">
      <w:pPr>
        <w:pStyle w:val="9"/>
        <w:rPr>
          <w:rFonts w:hint="default" w:ascii="Arial" w:hAnsi="Arial" w:eastAsia="微软雅黑" w:cs="Arial"/>
          <w:b/>
          <w:bCs/>
          <w:sz w:val="24"/>
          <w:szCs w:val="24"/>
        </w:rPr>
      </w:pPr>
    </w:p>
    <w:sectPr>
      <w:headerReference r:id="rId5" w:type="first"/>
      <w:footerReference r:id="rId8" w:type="first"/>
      <w:headerReference r:id="rId3" w:type="default"/>
      <w:footerReference r:id="rId6" w:type="default"/>
      <w:headerReference r:id="rId4" w:type="even"/>
      <w:footerReference r:id="rId7" w:type="even"/>
      <w:pgSz w:w="11906" w:h="16838"/>
      <w:pgMar w:top="850" w:right="1417" w:bottom="850" w:left="1417"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宋体">
    <w:altName w:val="宋体"/>
    <w:panose1 w:val="02010600040101010101"/>
    <w:charset w:val="86"/>
    <w:family w:val="auto"/>
    <w:pitch w:val="default"/>
    <w:sig w:usb0="00000000" w:usb1="00000000" w:usb2="00000010" w:usb3="00000000" w:csb0="0004009F" w:csb1="00000000"/>
  </w:font>
  <w:font w:name="微软雅黑">
    <w:panose1 w:val="020B0503020204020204"/>
    <w:charset w:val="86"/>
    <w:family w:val="swiss"/>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EA5454">
    <w:pPr>
      <w:tabs>
        <w:tab w:val="center" w:pos="4536"/>
        <w:tab w:val="right" w:pos="9072"/>
      </w:tabs>
      <w:jc w:val="left"/>
      <w:rPr>
        <w:rFonts w:hint="eastAsia" w:ascii="微软雅黑" w:hAnsi="微软雅黑" w:eastAsia="微软雅黑" w:cs="微软雅黑"/>
        <w:szCs w:val="21"/>
      </w:rPr>
    </w:pPr>
    <w:r>
      <mc:AlternateContent>
        <mc:Choice Requires="wps">
          <w:drawing>
            <wp:anchor distT="0" distB="0" distL="114300" distR="114300" simplePos="0" relativeHeight="251662336" behindDoc="0" locked="0" layoutInCell="1" allowOverlap="1">
              <wp:simplePos x="0" y="0"/>
              <wp:positionH relativeFrom="margin">
                <wp:posOffset>2455545</wp:posOffset>
              </wp:positionH>
              <wp:positionV relativeFrom="paragraph">
                <wp:posOffset>274955</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9C6ED1">
                          <w:pPr>
                            <w:pStyle w:val="4"/>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193.35pt;margin-top:21.65pt;height:144pt;width:144pt;mso-position-horizontal-relative:margin;mso-wrap-style:none;z-index:251662336;mso-width-relative:page;mso-height-relative:page;" filled="f" stroked="f" coordsize="21600,21600" o:gfxdata="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QANpftYAAAAKAQAADwAAAAAAAAABACAAAAAiAAAAZHJzL2Rvd25yZXYueG1sUEsBAhQAFAAA&#10;AAgAh07iQMrd1wwqAgAAVwQAAA4AAAAAAAAAAQAgAAAAJQEAAGRycy9lMm9Eb2MueG1sUEsFBgAA&#10;AAAGAAYAWQEAAMEFAAAAAA==&#10;">
              <v:fill on="f" focussize="0,0"/>
              <v:stroke on="f" weight="0.5pt"/>
              <v:imagedata o:title=""/>
              <o:lock v:ext="edit" aspectratio="f"/>
              <v:textbox inset="0mm,0mm,0mm,0mm" style="mso-fit-shape-to-text:t;">
                <w:txbxContent>
                  <w:p w14:paraId="5A9C6ED1">
                    <w:pPr>
                      <w:pStyle w:val="4"/>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0D655A">
    <w:pPr>
      <w:pStyle w:val="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C51830">
    <w:pPr>
      <w:pStyle w:val="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7718B0">
                          <w:pPr>
                            <w:snapToGrid w:val="0"/>
                            <w:rPr>
                              <w:rFonts w:eastAsiaTheme="minor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ofIv8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HyL/KwIAAFcEAAAOAAAAAAAAAAEAIAAAAB8BAABkcnMvZTJvRG9jLnhtbFBLBQYAAAAABgAG&#10;AFkBAAC8BQAAAAA=&#10;">
              <v:fill on="f" focussize="0,0"/>
              <v:stroke on="f" weight="0.5pt"/>
              <v:imagedata o:title=""/>
              <o:lock v:ext="edit" aspectratio="f"/>
              <v:textbox inset="0mm,0mm,0mm,0mm" style="mso-fit-shape-to-text:t;">
                <w:txbxContent>
                  <w:p w14:paraId="307718B0">
                    <w:pPr>
                      <w:snapToGrid w:val="0"/>
                      <w:rPr>
                        <w:rFonts w:eastAsiaTheme="minor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65CF34">
    <w:pPr>
      <w:pStyle w:val="5"/>
      <w:rPr>
        <w:sz w:val="10"/>
        <w:szCs w:val="10"/>
      </w:rPr>
    </w:pPr>
    <w:bookmarkStart w:id="0" w:name="_GoBack"/>
    <w:bookmarkEnd w:id="0"/>
    <w:r>
      <w:rPr>
        <w:sz w:val="10"/>
      </w:rPr>
      <mc:AlternateContent>
        <mc:Choice Requires="wps">
          <w:drawing>
            <wp:anchor distT="0" distB="0" distL="114300" distR="114300" simplePos="0" relativeHeight="251661312" behindDoc="0" locked="0" layoutInCell="1" allowOverlap="1">
              <wp:simplePos x="0" y="0"/>
              <wp:positionH relativeFrom="column">
                <wp:posOffset>3555365</wp:posOffset>
              </wp:positionH>
              <wp:positionV relativeFrom="paragraph">
                <wp:posOffset>508000</wp:posOffset>
              </wp:positionV>
              <wp:extent cx="1828800" cy="60706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6070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677FE1">
                          <w:pPr>
                            <w:rPr>
                              <w:rFonts w:hint="eastAsia" w:ascii="微软雅黑" w:hAnsi="微软雅黑" w:eastAsia="微软雅黑" w:cs="微软雅黑"/>
                              <w:b/>
                              <w:bCs/>
                              <w:color w:val="00A2E9"/>
                              <w:sz w:val="44"/>
                              <w:szCs w:val="44"/>
                              <w14:shadow w14:blurRad="38100" w14:dist="19050" w14:dir="2700000" w14:sx="100000" w14:sy="100000" w14:kx="0" w14:ky="0" w14:algn="tl">
                                <w14:schemeClr w14:val="dk1">
                                  <w14:alpha w14:val="60000"/>
                                </w14:schemeClr>
                              </w14:shadow>
                            </w:rPr>
                          </w:pPr>
                          <w:r>
                            <w:rPr>
                              <w:rFonts w:hint="eastAsia" w:eastAsia="微软雅黑"/>
                              <w:b/>
                              <w:bCs/>
                              <w:color w:val="00A2E9"/>
                              <w:sz w:val="28"/>
                              <w:szCs w:val="28"/>
                              <w14:shadow w14:blurRad="38100" w14:dist="19050" w14:dir="2700000" w14:sx="100000" w14:sy="100000" w14:kx="0" w14:ky="0" w14:algn="tl">
                                <w14:schemeClr w14:val="dk1">
                                  <w14:alpha w14:val="60000"/>
                                </w14:schemeClr>
                              </w14:shadow>
                              <w14:props3d w14:extrusionH="0" w14:contourW="0" w14:prstMaterial="clear"/>
                            </w:rPr>
                            <w:t>Waterborne Polyurethane Dispersion</w:t>
                          </w:r>
                        </w:p>
                      </w:txbxContent>
                    </wps:txbx>
                    <wps:bodyPr rot="0" spcFirstLastPara="0" vertOverflow="overflow" horzOverflow="overflow" vert="horz" wrap="non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79.95pt;margin-top:40pt;height:47.8pt;width:144pt;mso-wrap-style:none;z-index:251661312;mso-width-relative:page;mso-height-relative:page;" filled="f" stroked="f" coordsize="21600,21600" o:gfxdata="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B1IWqZ2wAAAAoBAAAPAAAAAAAAAAEAIAAAACIAAABkcnMv&#10;ZG93bnJldi54bWxQSwECFAAUAAAACACHTuJAVkQEPzkCAABkBAAADgAAAAAAAAABACAAAAAqAQAA&#10;ZHJzL2Uyb0RvYy54bWxQSwUGAAAAAAYABgBZAQAA1QUAAAAA&#10;">
              <v:fill on="f" focussize="0,0"/>
              <v:stroke on="f" weight="0.5pt"/>
              <v:imagedata o:title=""/>
              <o:lock v:ext="edit" aspectratio="f"/>
              <v:textbox>
                <w:txbxContent>
                  <w:p w14:paraId="1C677FE1">
                    <w:pPr>
                      <w:rPr>
                        <w:rFonts w:hint="eastAsia" w:ascii="微软雅黑" w:hAnsi="微软雅黑" w:eastAsia="微软雅黑" w:cs="微软雅黑"/>
                        <w:b/>
                        <w:bCs/>
                        <w:color w:val="00A2E9"/>
                        <w:sz w:val="44"/>
                        <w:szCs w:val="44"/>
                        <w14:shadow w14:blurRad="38100" w14:dist="19050" w14:dir="2700000" w14:sx="100000" w14:sy="100000" w14:kx="0" w14:ky="0" w14:algn="tl">
                          <w14:schemeClr w14:val="dk1">
                            <w14:alpha w14:val="60000"/>
                          </w14:schemeClr>
                        </w14:shadow>
                      </w:rPr>
                    </w:pPr>
                    <w:r>
                      <w:rPr>
                        <w:rFonts w:hint="eastAsia" w:eastAsia="微软雅黑"/>
                        <w:b/>
                        <w:bCs/>
                        <w:color w:val="00A2E9"/>
                        <w:sz w:val="28"/>
                        <w:szCs w:val="28"/>
                        <w14:shadow w14:blurRad="38100" w14:dist="19050" w14:dir="2700000" w14:sx="100000" w14:sy="100000" w14:kx="0" w14:ky="0" w14:algn="tl">
                          <w14:schemeClr w14:val="dk1">
                            <w14:alpha w14:val="60000"/>
                          </w14:schemeClr>
                        </w14:shadow>
                        <w14:props3d w14:extrusionH="0" w14:contourW="0" w14:prstMaterial="clear"/>
                      </w:rPr>
                      <w:t>Waterborne Polyurethane Dispersion</w:t>
                    </w:r>
                  </w:p>
                </w:txbxContent>
              </v:textbox>
            </v:shape>
          </w:pict>
        </mc:Fallback>
      </mc:AlternateContent>
    </w:r>
    <w:r>
      <w:rPr>
        <w:sz w:val="10"/>
      </w:rPr>
      <mc:AlternateContent>
        <mc:Choice Requires="wps">
          <w:drawing>
            <wp:anchor distT="0" distB="0" distL="114300" distR="114300" simplePos="0" relativeHeight="251659264" behindDoc="0" locked="0" layoutInCell="1" allowOverlap="1">
              <wp:simplePos x="0" y="0"/>
              <wp:positionH relativeFrom="column">
                <wp:posOffset>4333875</wp:posOffset>
              </wp:positionH>
              <wp:positionV relativeFrom="paragraph">
                <wp:posOffset>-45085</wp:posOffset>
              </wp:positionV>
              <wp:extent cx="1597025" cy="61912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597025" cy="6191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A1CD6B">
                          <w:pP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pP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CN-6017</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41.25pt;margin-top:-3.55pt;height:48.75pt;width:125.75pt;z-index:251659264;mso-width-relative:page;mso-height-relative:page;" filled="f" stroked="f" coordsize="21600,21600" o:gfxdata="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&#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B9xUoPbAAAACQEAAA8AAAAAAAAAAQAgAAAAIgAAAGRy&#10;cy9kb3ducmV2LnhtbFBLAQIUABQAAAAIAIdO4kBIqARrOwIAAGYEAAAOAAAAAAAAAAEAIAAAACoB&#10;AABkcnMvZTJvRG9jLnhtbFBLBQYAAAAABgAGAFkBAADXBQAAAAA=&#10;">
              <v:fill on="f" focussize="0,0"/>
              <v:stroke on="f" weight="0.5pt"/>
              <v:imagedata o:title=""/>
              <o:lock v:ext="edit" aspectratio="f"/>
              <v:textbox>
                <w:txbxContent>
                  <w:p w14:paraId="2AA1CD6B">
                    <w:pP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pP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CN-6017</w:t>
                    </w:r>
                  </w:p>
                </w:txbxContent>
              </v:textbox>
            </v:shape>
          </w:pict>
        </mc:Fallback>
      </mc:AlternateContent>
    </w:r>
    <w:r>
      <w:rPr>
        <w:sz w:val="10"/>
        <w:szCs w:val="10"/>
      </w:rPr>
      <w:drawing>
        <wp:inline distT="0" distB="0" distL="0" distR="0">
          <wp:extent cx="773430" cy="877570"/>
          <wp:effectExtent l="0" t="0" r="7620" b="0"/>
          <wp:docPr id="78719178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191786" name="图片 6"/>
                  <pic:cNvPicPr>
                    <a:picLocks noChangeAspect="1"/>
                  </pic:cNvPicPr>
                </pic:nvPicPr>
                <pic:blipFill>
                  <a:blip r:embed="rId1"/>
                  <a:stretch>
                    <a:fillRect/>
                  </a:stretch>
                </pic:blipFill>
                <pic:spPr>
                  <a:xfrm>
                    <a:off x="0" y="0"/>
                    <a:ext cx="780779" cy="885627"/>
                  </a:xfrm>
                  <a:prstGeom prst="rect">
                    <a:avLst/>
                  </a:prstGeom>
                </pic:spPr>
              </pic:pic>
            </a:graphicData>
          </a:graphic>
        </wp:inline>
      </w:drawing>
    </w:r>
    <w:r>
      <w:rPr>
        <w:rFonts w:ascii="微软雅黑" w:hAnsi="微软雅黑" w:eastAsia="微软雅黑" w:cs="微软雅黑"/>
        <w:szCs w:val="21"/>
      </w:rPr>
      <w:drawing>
        <wp:inline distT="0" distB="0" distL="0" distR="0">
          <wp:extent cx="2828925" cy="457200"/>
          <wp:effectExtent l="0" t="0" r="9525" b="0"/>
          <wp:docPr id="127529797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297970" name="图片 7"/>
                  <pic:cNvPicPr>
                    <a:picLocks noChangeAspect="1"/>
                  </pic:cNvPicPr>
                </pic:nvPicPr>
                <pic:blipFill>
                  <a:blip r:embed="rId2"/>
                  <a:stretch>
                    <a:fillRect/>
                  </a:stretch>
                </pic:blipFill>
                <pic:spPr>
                  <a:xfrm>
                    <a:off x="0" y="0"/>
                    <a:ext cx="2883654" cy="465956"/>
                  </a:xfrm>
                  <a:prstGeom prst="rect">
                    <a:avLst/>
                  </a:prstGeom>
                </pic:spPr>
              </pic:pic>
            </a:graphicData>
          </a:graphic>
        </wp:inline>
      </w:drawing>
    </w:r>
  </w:p>
  <w:p w14:paraId="2929E01E">
    <w:pPr>
      <w:pStyle w:val="5"/>
      <w:rPr>
        <w:sz w:val="10"/>
        <w:szCs w:val="1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7BEBFC">
    <w:pPr>
      <w:pStyle w:val="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DAD77E">
    <w:pPr>
      <w:pStyle w:val="5"/>
    </w:pPr>
  </w:p>
  <w:p w14:paraId="4889E539">
    <w:pPr>
      <w:pStyle w:val="5"/>
    </w:pPr>
  </w:p>
  <w:p w14:paraId="6D2B9D7C">
    <w:pPr>
      <w:pStyle w:val="5"/>
    </w:pPr>
  </w:p>
  <w:p w14:paraId="3D459FD3">
    <w:pPr>
      <w:pStyle w:val="5"/>
    </w:pPr>
  </w:p>
  <w:p w14:paraId="33112C35">
    <w:pPr>
      <w:pStyle w:val="5"/>
    </w:pPr>
  </w:p>
  <w:p w14:paraId="34D9BCD4">
    <w:pPr>
      <w:pStyle w:val="5"/>
    </w:pPr>
  </w:p>
  <w:p w14:paraId="202DE71C">
    <w:pPr>
      <w:pStyle w:val="5"/>
    </w:pPr>
  </w:p>
  <w:p w14:paraId="1C07EBB3">
    <w:pPr>
      <w:pStyle w:val="5"/>
    </w:pPr>
  </w:p>
  <w:p w14:paraId="76E9F349">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B197DA"/>
    <w:multiLevelType w:val="singleLevel"/>
    <w:tmpl w:val="ACB197DA"/>
    <w:lvl w:ilvl="0" w:tentative="0">
      <w:start w:val="1"/>
      <w:numFmt w:val="decimal"/>
      <w:lvlText w:val="%1."/>
      <w:lvlJc w:val="left"/>
      <w:pPr>
        <w:ind w:left="425" w:hanging="425"/>
      </w:pPr>
      <w:rPr>
        <w:rFonts w:hint="default"/>
      </w:rPr>
    </w:lvl>
  </w:abstractNum>
  <w:abstractNum w:abstractNumId="1">
    <w:nsid w:val="48E15AA7"/>
    <w:multiLevelType w:val="singleLevel"/>
    <w:tmpl w:val="48E15AA7"/>
    <w:lvl w:ilvl="0" w:tentative="0">
      <w:start w:val="1"/>
      <w:numFmt w:val="decimal"/>
      <w:lvlText w:val="%1."/>
      <w:lvlJc w:val="left"/>
      <w:pPr>
        <w:ind w:left="425" w:hanging="425"/>
      </w:pPr>
      <w:rPr>
        <w:rFonts w:hint="default"/>
      </w:rPr>
    </w:lvl>
  </w:abstractNum>
  <w:abstractNum w:abstractNumId="2">
    <w:nsid w:val="570C9FF7"/>
    <w:multiLevelType w:val="singleLevel"/>
    <w:tmpl w:val="570C9FF7"/>
    <w:lvl w:ilvl="0" w:tentative="0">
      <w:start w:val="1"/>
      <w:numFmt w:val="decimal"/>
      <w:lvlText w:val="%1."/>
      <w:lvlJc w:val="left"/>
      <w:pPr>
        <w:ind w:left="425" w:hanging="425"/>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IwNGMxNTYzNWNmZDhkMGY5NGY2MzU1NDNkNDEzMzQifQ=="/>
    <w:docVar w:name="KSO_WPS_MARK_KEY" w:val="9e5ed2ef-df1b-49b7-8e7e-1ada10df08c8"/>
  </w:docVars>
  <w:rsids>
    <w:rsidRoot w:val="00912B14"/>
    <w:rsid w:val="0001719E"/>
    <w:rsid w:val="0004443A"/>
    <w:rsid w:val="000966E8"/>
    <w:rsid w:val="000A1C8F"/>
    <w:rsid w:val="00136635"/>
    <w:rsid w:val="00156019"/>
    <w:rsid w:val="00180F8E"/>
    <w:rsid w:val="00200121"/>
    <w:rsid w:val="00264EA8"/>
    <w:rsid w:val="00296707"/>
    <w:rsid w:val="002F6D5B"/>
    <w:rsid w:val="00332A49"/>
    <w:rsid w:val="003364CC"/>
    <w:rsid w:val="003550AC"/>
    <w:rsid w:val="003B16AF"/>
    <w:rsid w:val="00422D12"/>
    <w:rsid w:val="00455912"/>
    <w:rsid w:val="004C547F"/>
    <w:rsid w:val="00505831"/>
    <w:rsid w:val="00527365"/>
    <w:rsid w:val="00596990"/>
    <w:rsid w:val="005C2C91"/>
    <w:rsid w:val="005D0AE0"/>
    <w:rsid w:val="005D2EFD"/>
    <w:rsid w:val="00613736"/>
    <w:rsid w:val="00626985"/>
    <w:rsid w:val="006F56F9"/>
    <w:rsid w:val="007F77E9"/>
    <w:rsid w:val="00831E5E"/>
    <w:rsid w:val="00867CB0"/>
    <w:rsid w:val="00912B14"/>
    <w:rsid w:val="0097112D"/>
    <w:rsid w:val="00B829A2"/>
    <w:rsid w:val="00BD5E68"/>
    <w:rsid w:val="00BF5852"/>
    <w:rsid w:val="00CB1423"/>
    <w:rsid w:val="00CE110F"/>
    <w:rsid w:val="00D33741"/>
    <w:rsid w:val="00D55D1D"/>
    <w:rsid w:val="00D62AD4"/>
    <w:rsid w:val="00D65764"/>
    <w:rsid w:val="00E53076"/>
    <w:rsid w:val="00E64056"/>
    <w:rsid w:val="00EB567E"/>
    <w:rsid w:val="00F02A8D"/>
    <w:rsid w:val="00F253D2"/>
    <w:rsid w:val="011078C7"/>
    <w:rsid w:val="0183453D"/>
    <w:rsid w:val="01EF3980"/>
    <w:rsid w:val="02442FC2"/>
    <w:rsid w:val="03100052"/>
    <w:rsid w:val="04A94C9E"/>
    <w:rsid w:val="04AE7B23"/>
    <w:rsid w:val="052B4CCF"/>
    <w:rsid w:val="05720C57"/>
    <w:rsid w:val="064C714F"/>
    <w:rsid w:val="065F6521"/>
    <w:rsid w:val="06D931EF"/>
    <w:rsid w:val="070F7027"/>
    <w:rsid w:val="07941252"/>
    <w:rsid w:val="07C140EA"/>
    <w:rsid w:val="07D21D7A"/>
    <w:rsid w:val="08071A24"/>
    <w:rsid w:val="0854453D"/>
    <w:rsid w:val="085731EC"/>
    <w:rsid w:val="08955CEE"/>
    <w:rsid w:val="09AA6B0A"/>
    <w:rsid w:val="09C007EB"/>
    <w:rsid w:val="09CB6A81"/>
    <w:rsid w:val="0AC459AA"/>
    <w:rsid w:val="0AD52242"/>
    <w:rsid w:val="0B8F4175"/>
    <w:rsid w:val="0BA22DE5"/>
    <w:rsid w:val="0BC1292A"/>
    <w:rsid w:val="0C0C50ED"/>
    <w:rsid w:val="0C2F32F7"/>
    <w:rsid w:val="0CAF6706"/>
    <w:rsid w:val="0CE9794A"/>
    <w:rsid w:val="0D054058"/>
    <w:rsid w:val="0E461615"/>
    <w:rsid w:val="0E4A2063"/>
    <w:rsid w:val="0E6E541F"/>
    <w:rsid w:val="0F316173"/>
    <w:rsid w:val="0F622D6C"/>
    <w:rsid w:val="0F7B6853"/>
    <w:rsid w:val="0F7E1B5D"/>
    <w:rsid w:val="0F7E29D8"/>
    <w:rsid w:val="0F8C2F08"/>
    <w:rsid w:val="0FEE3829"/>
    <w:rsid w:val="103C4234"/>
    <w:rsid w:val="10AB3168"/>
    <w:rsid w:val="111904EE"/>
    <w:rsid w:val="112B531D"/>
    <w:rsid w:val="13174AE5"/>
    <w:rsid w:val="13847EF8"/>
    <w:rsid w:val="13CE5AEB"/>
    <w:rsid w:val="145B0209"/>
    <w:rsid w:val="14B720DC"/>
    <w:rsid w:val="150C43FD"/>
    <w:rsid w:val="15127C5A"/>
    <w:rsid w:val="151C4634"/>
    <w:rsid w:val="156364B0"/>
    <w:rsid w:val="156602C5"/>
    <w:rsid w:val="158C3568"/>
    <w:rsid w:val="158E3DE7"/>
    <w:rsid w:val="16125B82"/>
    <w:rsid w:val="163A2FC4"/>
    <w:rsid w:val="16677B31"/>
    <w:rsid w:val="177D4274"/>
    <w:rsid w:val="181E4B7E"/>
    <w:rsid w:val="184719C8"/>
    <w:rsid w:val="190855FC"/>
    <w:rsid w:val="19145D4E"/>
    <w:rsid w:val="198D78AF"/>
    <w:rsid w:val="1AA03FCF"/>
    <w:rsid w:val="1AB9480C"/>
    <w:rsid w:val="1AD1412F"/>
    <w:rsid w:val="1B1E1106"/>
    <w:rsid w:val="1B8227E1"/>
    <w:rsid w:val="1BAA4748"/>
    <w:rsid w:val="1C0C4A0C"/>
    <w:rsid w:val="1C8C03D3"/>
    <w:rsid w:val="1CBB7F06"/>
    <w:rsid w:val="1D831216"/>
    <w:rsid w:val="1E1B192D"/>
    <w:rsid w:val="1E5313D0"/>
    <w:rsid w:val="1E6E10D2"/>
    <w:rsid w:val="1EBB6C6C"/>
    <w:rsid w:val="1EC65D3D"/>
    <w:rsid w:val="1EF9624C"/>
    <w:rsid w:val="1F175729"/>
    <w:rsid w:val="1F244168"/>
    <w:rsid w:val="20234AC9"/>
    <w:rsid w:val="20AE6A88"/>
    <w:rsid w:val="21A15D39"/>
    <w:rsid w:val="223C359F"/>
    <w:rsid w:val="224C6559"/>
    <w:rsid w:val="22BE6D2B"/>
    <w:rsid w:val="22C84AC3"/>
    <w:rsid w:val="22F1664C"/>
    <w:rsid w:val="233D0598"/>
    <w:rsid w:val="23B51EDC"/>
    <w:rsid w:val="24173588"/>
    <w:rsid w:val="24414A2E"/>
    <w:rsid w:val="24CD36D8"/>
    <w:rsid w:val="24D764A3"/>
    <w:rsid w:val="25212C68"/>
    <w:rsid w:val="253357AE"/>
    <w:rsid w:val="255B2F57"/>
    <w:rsid w:val="256E5E50"/>
    <w:rsid w:val="257D6812"/>
    <w:rsid w:val="25F969F8"/>
    <w:rsid w:val="26232D49"/>
    <w:rsid w:val="266A3ED9"/>
    <w:rsid w:val="27F67809"/>
    <w:rsid w:val="285B5212"/>
    <w:rsid w:val="289366BF"/>
    <w:rsid w:val="28D249F8"/>
    <w:rsid w:val="28DC7F0B"/>
    <w:rsid w:val="29FE3870"/>
    <w:rsid w:val="2A2A637C"/>
    <w:rsid w:val="2A706411"/>
    <w:rsid w:val="2AFD21C9"/>
    <w:rsid w:val="2D0619FA"/>
    <w:rsid w:val="2D534BA2"/>
    <w:rsid w:val="2DA21723"/>
    <w:rsid w:val="2DBA1DF2"/>
    <w:rsid w:val="2EC1173B"/>
    <w:rsid w:val="2EEB0EA8"/>
    <w:rsid w:val="2F7B222C"/>
    <w:rsid w:val="2F8C6D98"/>
    <w:rsid w:val="2FFE4C0B"/>
    <w:rsid w:val="304463CA"/>
    <w:rsid w:val="30954A7B"/>
    <w:rsid w:val="30AE3614"/>
    <w:rsid w:val="30D00C4A"/>
    <w:rsid w:val="31815D52"/>
    <w:rsid w:val="31F1602E"/>
    <w:rsid w:val="329A50BF"/>
    <w:rsid w:val="32B617CD"/>
    <w:rsid w:val="33075F48"/>
    <w:rsid w:val="3424477C"/>
    <w:rsid w:val="34B166F0"/>
    <w:rsid w:val="34C65B5C"/>
    <w:rsid w:val="34CF6B76"/>
    <w:rsid w:val="3538471B"/>
    <w:rsid w:val="358F0212"/>
    <w:rsid w:val="362F0630"/>
    <w:rsid w:val="366B0946"/>
    <w:rsid w:val="366E5B00"/>
    <w:rsid w:val="377356FF"/>
    <w:rsid w:val="37B02520"/>
    <w:rsid w:val="37B5307D"/>
    <w:rsid w:val="37CA4590"/>
    <w:rsid w:val="384E4AEF"/>
    <w:rsid w:val="38A547BD"/>
    <w:rsid w:val="38AF1198"/>
    <w:rsid w:val="38B44A29"/>
    <w:rsid w:val="3B1B42C7"/>
    <w:rsid w:val="3B2C6AD0"/>
    <w:rsid w:val="3B6C76A7"/>
    <w:rsid w:val="3B8B1A48"/>
    <w:rsid w:val="3BBD3BCC"/>
    <w:rsid w:val="3BE63123"/>
    <w:rsid w:val="3BF1545C"/>
    <w:rsid w:val="3BFC46F4"/>
    <w:rsid w:val="3C4B3342"/>
    <w:rsid w:val="3CC90F0B"/>
    <w:rsid w:val="3D5F222C"/>
    <w:rsid w:val="3E2A0056"/>
    <w:rsid w:val="3E2E2B5F"/>
    <w:rsid w:val="3E991ECF"/>
    <w:rsid w:val="3EA94D74"/>
    <w:rsid w:val="3F032F8F"/>
    <w:rsid w:val="3F7C4554"/>
    <w:rsid w:val="3F9453C0"/>
    <w:rsid w:val="3FA7706D"/>
    <w:rsid w:val="3FD80FD4"/>
    <w:rsid w:val="40956EC5"/>
    <w:rsid w:val="40CA5FBF"/>
    <w:rsid w:val="40ED0AAF"/>
    <w:rsid w:val="40F55BB6"/>
    <w:rsid w:val="40FA4F7A"/>
    <w:rsid w:val="41801923"/>
    <w:rsid w:val="41852ECE"/>
    <w:rsid w:val="42130A14"/>
    <w:rsid w:val="43420752"/>
    <w:rsid w:val="436D5ED7"/>
    <w:rsid w:val="43A917E1"/>
    <w:rsid w:val="43C156DA"/>
    <w:rsid w:val="44023B4A"/>
    <w:rsid w:val="44057542"/>
    <w:rsid w:val="44332120"/>
    <w:rsid w:val="44480717"/>
    <w:rsid w:val="44AC63E9"/>
    <w:rsid w:val="46226B63"/>
    <w:rsid w:val="46511CBF"/>
    <w:rsid w:val="46650534"/>
    <w:rsid w:val="47173CBF"/>
    <w:rsid w:val="47B265AF"/>
    <w:rsid w:val="48541414"/>
    <w:rsid w:val="48543647"/>
    <w:rsid w:val="488E1498"/>
    <w:rsid w:val="48B33638"/>
    <w:rsid w:val="48CB55C6"/>
    <w:rsid w:val="49477D3A"/>
    <w:rsid w:val="49512BF7"/>
    <w:rsid w:val="49544966"/>
    <w:rsid w:val="49BB1EB8"/>
    <w:rsid w:val="4A8D4ABA"/>
    <w:rsid w:val="4ABE5659"/>
    <w:rsid w:val="4AF061D5"/>
    <w:rsid w:val="4AFC57DE"/>
    <w:rsid w:val="4CCE6112"/>
    <w:rsid w:val="4D0A2F51"/>
    <w:rsid w:val="4E304853"/>
    <w:rsid w:val="4E3844A7"/>
    <w:rsid w:val="4E454986"/>
    <w:rsid w:val="4EB805B5"/>
    <w:rsid w:val="4F3A16E7"/>
    <w:rsid w:val="4FC74BC1"/>
    <w:rsid w:val="506863A4"/>
    <w:rsid w:val="512377DF"/>
    <w:rsid w:val="5160707C"/>
    <w:rsid w:val="51F326E1"/>
    <w:rsid w:val="53625877"/>
    <w:rsid w:val="53F266B1"/>
    <w:rsid w:val="53FB3634"/>
    <w:rsid w:val="53FF5197"/>
    <w:rsid w:val="543A3BB4"/>
    <w:rsid w:val="54781E35"/>
    <w:rsid w:val="550B73D9"/>
    <w:rsid w:val="55B31438"/>
    <w:rsid w:val="568850AA"/>
    <w:rsid w:val="56D71B8E"/>
    <w:rsid w:val="57783AA4"/>
    <w:rsid w:val="57BE68AA"/>
    <w:rsid w:val="58613E05"/>
    <w:rsid w:val="5886047F"/>
    <w:rsid w:val="58951D01"/>
    <w:rsid w:val="59975605"/>
    <w:rsid w:val="5C1827CF"/>
    <w:rsid w:val="5CAC0BE1"/>
    <w:rsid w:val="5D3E405D"/>
    <w:rsid w:val="5D4B0BE0"/>
    <w:rsid w:val="5D5C4B9B"/>
    <w:rsid w:val="5DA90B12"/>
    <w:rsid w:val="5E161FB4"/>
    <w:rsid w:val="5F897FFB"/>
    <w:rsid w:val="5F921216"/>
    <w:rsid w:val="600357A2"/>
    <w:rsid w:val="60896C0E"/>
    <w:rsid w:val="60F670B5"/>
    <w:rsid w:val="61577E9E"/>
    <w:rsid w:val="61AB4343"/>
    <w:rsid w:val="61D9780F"/>
    <w:rsid w:val="6223037D"/>
    <w:rsid w:val="62610BBD"/>
    <w:rsid w:val="6292369A"/>
    <w:rsid w:val="62B66AFB"/>
    <w:rsid w:val="62F13FD7"/>
    <w:rsid w:val="63A9762F"/>
    <w:rsid w:val="642F7C07"/>
    <w:rsid w:val="643E324C"/>
    <w:rsid w:val="64A01EB8"/>
    <w:rsid w:val="65A92947"/>
    <w:rsid w:val="665B0D53"/>
    <w:rsid w:val="668313EA"/>
    <w:rsid w:val="66C646B1"/>
    <w:rsid w:val="66F63506"/>
    <w:rsid w:val="67193AFD"/>
    <w:rsid w:val="67567154"/>
    <w:rsid w:val="67B051FD"/>
    <w:rsid w:val="6884276C"/>
    <w:rsid w:val="691A5E80"/>
    <w:rsid w:val="69230FC3"/>
    <w:rsid w:val="692B4588"/>
    <w:rsid w:val="699B1CAF"/>
    <w:rsid w:val="699B6A4B"/>
    <w:rsid w:val="69A02C0D"/>
    <w:rsid w:val="69C42446"/>
    <w:rsid w:val="6A0D509F"/>
    <w:rsid w:val="6A146B9D"/>
    <w:rsid w:val="6B2813E2"/>
    <w:rsid w:val="6BA4668D"/>
    <w:rsid w:val="6C1333E3"/>
    <w:rsid w:val="6C554405"/>
    <w:rsid w:val="6C7864D8"/>
    <w:rsid w:val="6CA67BE1"/>
    <w:rsid w:val="6D5957F1"/>
    <w:rsid w:val="6DBD689D"/>
    <w:rsid w:val="6DC8368C"/>
    <w:rsid w:val="6E114605"/>
    <w:rsid w:val="6E230A25"/>
    <w:rsid w:val="6E4F6056"/>
    <w:rsid w:val="6E70494A"/>
    <w:rsid w:val="6E9D3265"/>
    <w:rsid w:val="6F3C482C"/>
    <w:rsid w:val="6FC1690D"/>
    <w:rsid w:val="6FDA5069"/>
    <w:rsid w:val="701E3F32"/>
    <w:rsid w:val="70AC59E2"/>
    <w:rsid w:val="71530C3F"/>
    <w:rsid w:val="716449CA"/>
    <w:rsid w:val="716A04B8"/>
    <w:rsid w:val="71FA7527"/>
    <w:rsid w:val="73155AC0"/>
    <w:rsid w:val="73972979"/>
    <w:rsid w:val="739764D5"/>
    <w:rsid w:val="74784559"/>
    <w:rsid w:val="760D074D"/>
    <w:rsid w:val="76187FA1"/>
    <w:rsid w:val="7683312E"/>
    <w:rsid w:val="76960CC6"/>
    <w:rsid w:val="76D67314"/>
    <w:rsid w:val="77955421"/>
    <w:rsid w:val="780313AD"/>
    <w:rsid w:val="786D102C"/>
    <w:rsid w:val="792064E4"/>
    <w:rsid w:val="793B4942"/>
    <w:rsid w:val="79960FDD"/>
    <w:rsid w:val="79E1494E"/>
    <w:rsid w:val="7A6C06BC"/>
    <w:rsid w:val="7A6E32DC"/>
    <w:rsid w:val="7BBB10DA"/>
    <w:rsid w:val="7BF2699E"/>
    <w:rsid w:val="7C3D4373"/>
    <w:rsid w:val="7D284642"/>
    <w:rsid w:val="7D39684F"/>
    <w:rsid w:val="7D5B42AD"/>
    <w:rsid w:val="7DD84170"/>
    <w:rsid w:val="7DF87B8B"/>
    <w:rsid w:val="7E0429B9"/>
    <w:rsid w:val="7E0A5DEF"/>
    <w:rsid w:val="7E6165D9"/>
    <w:rsid w:val="7E623774"/>
    <w:rsid w:val="7ED76320"/>
    <w:rsid w:val="7F281712"/>
    <w:rsid w:val="7F7E5CBF"/>
    <w:rsid w:val="7F995383"/>
    <w:rsid w:val="7FA93818"/>
    <w:rsid w:val="7FF2166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Default"/>
    <w:qFormat/>
    <w:uiPriority w:val="0"/>
    <w:pPr>
      <w:widowControl w:val="0"/>
      <w:autoSpaceDE w:val="0"/>
      <w:autoSpaceDN w:val="0"/>
      <w:adjustRightInd w:val="0"/>
    </w:pPr>
    <w:rPr>
      <w:rFonts w:ascii="华文宋体" w:hAnsi="Times New Roman" w:eastAsia="华文宋体" w:cs="华文宋体"/>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666</Words>
  <Characters>806</Characters>
  <Lines>40</Lines>
  <Paragraphs>52</Paragraphs>
  <TotalTime>0</TotalTime>
  <ScaleCrop>false</ScaleCrop>
  <LinksUpToDate>false</LinksUpToDate>
  <CharactersWithSpaces>821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2026-01-14T02:14:00Z</dcterms:created>
  <dc:creator>Davis</dc:creator>
  <cp:lastModifiedBy>戴眼镜的麻杆。</cp:lastModifiedBy>
  <cp:lastPrinted>2024-06-20T10:29:00Z</cp:lastPrinted>
  <dcterms:modified xsi:type="dcterms:W3CDTF">2026-04-14T07:16:28Z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38D258D4DD3D4C3496FBC3D3649A7D42</vt:lpwstr>
  </property>
  <property fmtid="{D5CDD505-2E9C-101B-9397-08002B2CF9AE}" pid="4" name="KSOTemplateDocerSaveRecord">
    <vt:lpwstr>eyJoZGlkIjoiN2FkMmFjNTIzYTc2MzM4YzI5MjhhZjFlYzFlYTkyNWUiLCJ1c2VySWQiOiIxMTk5MzAzNjYzIn0=</vt:lpwstr>
  </property>
</Properties>
</file>