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895C34">
      <w:pPr>
        <w:spacing w:line="360" w:lineRule="auto"/>
        <w:jc w:val="center"/>
        <w:rPr>
          <w:rFonts w:hint="default" w:ascii="Arial" w:hAnsi="Arial" w:eastAsia="Segoe UI Emoji" w:cs="Arial"/>
          <w:b/>
          <w:bCs/>
          <w:i w:val="0"/>
          <w:iCs w:val="0"/>
          <w:caps w:val="0"/>
          <w:color w:val="000000"/>
          <w:spacing w:val="0"/>
          <w:sz w:val="32"/>
          <w:szCs w:val="32"/>
        </w:rPr>
      </w:pPr>
      <w:r>
        <w:rPr>
          <w:rFonts w:hint="default" w:ascii="Arial" w:hAnsi="Arial" w:eastAsia="Segoe UI Emoji" w:cs="Arial"/>
          <w:b/>
          <w:bCs/>
          <w:i w:val="0"/>
          <w:iCs w:val="0"/>
          <w:caps w:val="0"/>
          <w:color w:val="000000"/>
          <w:spacing w:val="0"/>
          <w:sz w:val="32"/>
          <w:szCs w:val="32"/>
        </w:rPr>
        <w:t>Product Technical Specification</w:t>
      </w:r>
    </w:p>
    <w:p w14:paraId="4FEA7684">
      <w:pPr>
        <w:spacing w:line="360" w:lineRule="auto"/>
        <w:rPr>
          <w:rFonts w:hint="default" w:ascii="Arial" w:hAnsi="Arial" w:eastAsia="Segoe UI Emoji" w:cs="Arial"/>
          <w:i w:val="0"/>
          <w:iCs w:val="0"/>
          <w:caps w:val="0"/>
          <w:color w:val="000000"/>
          <w:spacing w:val="0"/>
          <w:sz w:val="24"/>
          <w:szCs w:val="24"/>
        </w:rPr>
      </w:pPr>
      <w:r>
        <w:rPr>
          <w:rFonts w:hint="default" w:ascii="Arial" w:hAnsi="Arial" w:eastAsia="Segoe UI Emoji" w:cs="Arial"/>
          <w:b/>
          <w:bCs/>
          <w:i w:val="0"/>
          <w:iCs w:val="0"/>
          <w:caps w:val="0"/>
          <w:color w:val="000000"/>
          <w:spacing w:val="0"/>
          <w:sz w:val="28"/>
          <w:szCs w:val="28"/>
        </w:rPr>
        <w:t>Product Introduction</w:t>
      </w:r>
      <w:r>
        <w:rPr>
          <w:rFonts w:hint="default" w:ascii="Arial" w:hAnsi="Arial" w:eastAsia="Segoe UI Emoji" w:cs="Arial"/>
          <w:i w:val="0"/>
          <w:iCs w:val="0"/>
          <w:caps w:val="0"/>
          <w:color w:val="000000"/>
          <w:spacing w:val="0"/>
          <w:sz w:val="24"/>
          <w:szCs w:val="24"/>
        </w:rPr>
        <w:t xml:space="preserve"> </w:t>
      </w:r>
    </w:p>
    <w:p w14:paraId="19C0D93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Arial" w:hAnsi="Arial" w:eastAsia="Segoe UI Emoji" w:cs="Arial"/>
          <w:i w:val="0"/>
          <w:iCs w:val="0"/>
          <w:caps w:val="0"/>
          <w:color w:val="000000"/>
          <w:spacing w:val="0"/>
          <w:sz w:val="24"/>
          <w:szCs w:val="24"/>
        </w:rPr>
      </w:pPr>
      <w:r>
        <w:rPr>
          <w:rFonts w:hint="default" w:ascii="Arial" w:hAnsi="Arial" w:eastAsia="Segoe UI Emoji" w:cs="Arial"/>
          <w:i w:val="0"/>
          <w:iCs w:val="0"/>
          <w:caps w:val="0"/>
          <w:color w:val="000000"/>
          <w:spacing w:val="0"/>
          <w:sz w:val="24"/>
          <w:szCs w:val="24"/>
        </w:rPr>
        <w:t>CN-806 is a high-solid aromatic waterborne polyurethane dispersion independently developed by our company, with excellent performance reaching the advanced domestic level. This product is safe, non-toxic, odorless and non-irritating, and can be used as a coating for flexible substrates such as plastics and textiles (especially nylon fabrics). Its environmental test results meet the standards of Europe, the United States and Japan (environmental test reports can be provided upon request).</w:t>
      </w:r>
    </w:p>
    <w:p w14:paraId="1D06734E">
      <w:pPr>
        <w:spacing w:line="360" w:lineRule="auto"/>
        <w:rPr>
          <w:rFonts w:hint="default" w:ascii="Arial" w:hAnsi="Arial" w:eastAsia="Segoe UI Emoji" w:cs="Arial"/>
          <w:b/>
          <w:bCs/>
          <w:i w:val="0"/>
          <w:iCs w:val="0"/>
          <w:caps w:val="0"/>
          <w:color w:val="000000"/>
          <w:spacing w:val="0"/>
          <w:sz w:val="22"/>
          <w:szCs w:val="22"/>
        </w:rPr>
      </w:pPr>
    </w:p>
    <w:p w14:paraId="0546AF2C">
      <w:pPr>
        <w:spacing w:line="360" w:lineRule="auto"/>
        <w:rPr>
          <w:rFonts w:hint="default" w:ascii="Arial" w:hAnsi="Arial" w:eastAsia="Segoe UI Emoji" w:cs="Arial"/>
          <w:b/>
          <w:bCs/>
          <w:i w:val="0"/>
          <w:iCs w:val="0"/>
          <w:caps w:val="0"/>
          <w:color w:val="000000"/>
          <w:spacing w:val="0"/>
          <w:sz w:val="28"/>
          <w:szCs w:val="28"/>
        </w:rPr>
      </w:pPr>
      <w:r>
        <w:rPr>
          <w:rFonts w:hint="default" w:ascii="Arial" w:hAnsi="Arial" w:eastAsia="Segoe UI Emoji" w:cs="Arial"/>
          <w:b/>
          <w:bCs/>
          <w:i w:val="0"/>
          <w:iCs w:val="0"/>
          <w:caps w:val="0"/>
          <w:color w:val="000000"/>
          <w:spacing w:val="0"/>
          <w:sz w:val="28"/>
          <w:szCs w:val="28"/>
        </w:rPr>
        <w:t>Product Features</w:t>
      </w:r>
    </w:p>
    <w:p w14:paraId="78EE5508">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425" w:leftChars="0" w:hanging="425" w:firstLineChars="0"/>
        <w:textAlignment w:val="auto"/>
        <w:rPr>
          <w:rFonts w:hint="default" w:ascii="Arial" w:hAnsi="Arial" w:eastAsia="Segoe UI Emoji" w:cs="Arial"/>
          <w:i w:val="0"/>
          <w:iCs w:val="0"/>
          <w:caps w:val="0"/>
          <w:color w:val="000000"/>
          <w:spacing w:val="0"/>
          <w:sz w:val="24"/>
          <w:szCs w:val="24"/>
        </w:rPr>
      </w:pPr>
      <w:r>
        <w:rPr>
          <w:rFonts w:hint="default" w:ascii="Arial" w:hAnsi="Arial" w:eastAsia="Segoe UI Emoji" w:cs="Arial"/>
          <w:i w:val="0"/>
          <w:iCs w:val="0"/>
          <w:caps w:val="0"/>
          <w:color w:val="000000"/>
          <w:spacing w:val="0"/>
          <w:sz w:val="24"/>
          <w:szCs w:val="24"/>
        </w:rPr>
        <w:t>Eco-friendly emulsion, free of toxic substances such as formaldehyde, nonylphenol, heavy metals, PAHs and DMF.</w:t>
      </w:r>
    </w:p>
    <w:p w14:paraId="26E95EFA">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425" w:leftChars="0" w:hanging="425" w:firstLineChars="0"/>
        <w:textAlignment w:val="auto"/>
        <w:rPr>
          <w:rFonts w:hint="default" w:ascii="Arial" w:hAnsi="Arial" w:eastAsia="Segoe UI Emoji" w:cs="Arial"/>
          <w:i w:val="0"/>
          <w:iCs w:val="0"/>
          <w:caps w:val="0"/>
          <w:color w:val="000000"/>
          <w:spacing w:val="0"/>
          <w:sz w:val="24"/>
          <w:szCs w:val="24"/>
        </w:rPr>
      </w:pPr>
      <w:r>
        <w:rPr>
          <w:rFonts w:hint="default" w:ascii="Arial" w:hAnsi="Arial" w:eastAsia="Segoe UI Emoji" w:cs="Arial"/>
          <w:i w:val="0"/>
          <w:iCs w:val="0"/>
          <w:caps w:val="0"/>
          <w:color w:val="000000"/>
          <w:spacing w:val="0"/>
          <w:sz w:val="24"/>
          <w:szCs w:val="24"/>
        </w:rPr>
        <w:t>Excellent toughness of the formed film.</w:t>
      </w:r>
    </w:p>
    <w:p w14:paraId="3E6D8100">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425" w:leftChars="0" w:hanging="425" w:firstLineChars="0"/>
        <w:textAlignment w:val="auto"/>
        <w:rPr>
          <w:rFonts w:hint="default" w:ascii="Arial" w:hAnsi="Arial" w:eastAsia="Segoe UI Emoji" w:cs="Arial"/>
          <w:i w:val="0"/>
          <w:iCs w:val="0"/>
          <w:caps w:val="0"/>
          <w:color w:val="000000"/>
          <w:spacing w:val="0"/>
          <w:sz w:val="24"/>
          <w:szCs w:val="24"/>
        </w:rPr>
      </w:pPr>
      <w:r>
        <w:rPr>
          <w:rFonts w:hint="default" w:ascii="Arial" w:hAnsi="Arial" w:eastAsia="Segoe UI Emoji" w:cs="Arial"/>
          <w:i w:val="0"/>
          <w:iCs w:val="0"/>
          <w:caps w:val="0"/>
          <w:color w:val="000000"/>
          <w:spacing w:val="0"/>
          <w:sz w:val="24"/>
          <w:szCs w:val="24"/>
        </w:rPr>
        <w:t>Good elongation and low-temperature flexibility.</w:t>
      </w:r>
    </w:p>
    <w:p w14:paraId="298C2744">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425" w:leftChars="0" w:hanging="425" w:firstLineChars="0"/>
        <w:textAlignment w:val="auto"/>
        <w:rPr>
          <w:rFonts w:hint="default" w:ascii="Arial" w:hAnsi="Arial" w:eastAsia="Segoe UI Emoji" w:cs="Arial"/>
          <w:i w:val="0"/>
          <w:iCs w:val="0"/>
          <w:caps w:val="0"/>
          <w:color w:val="000000"/>
          <w:spacing w:val="0"/>
          <w:sz w:val="24"/>
          <w:szCs w:val="24"/>
        </w:rPr>
      </w:pPr>
      <w:r>
        <w:rPr>
          <w:rFonts w:hint="default" w:ascii="Arial" w:hAnsi="Arial" w:eastAsia="Segoe UI Emoji" w:cs="Arial"/>
          <w:i w:val="0"/>
          <w:iCs w:val="0"/>
          <w:caps w:val="0"/>
          <w:color w:val="000000"/>
          <w:spacing w:val="0"/>
          <w:sz w:val="24"/>
          <w:szCs w:val="24"/>
        </w:rPr>
        <w:t xml:space="preserve">Particularly outstanding adhesion to nylon fabrics. </w:t>
      </w:r>
    </w:p>
    <w:p w14:paraId="0422BC61">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default" w:ascii="Arial" w:hAnsi="Arial" w:eastAsia="Segoe UI Emoji" w:cs="Arial"/>
          <w:i w:val="0"/>
          <w:iCs w:val="0"/>
          <w:caps w:val="0"/>
          <w:color w:val="000000"/>
          <w:spacing w:val="0"/>
          <w:sz w:val="24"/>
          <w:szCs w:val="24"/>
        </w:rPr>
      </w:pPr>
    </w:p>
    <w:p w14:paraId="35D350C2">
      <w:pPr>
        <w:spacing w:line="360" w:lineRule="auto"/>
        <w:rPr>
          <w:rFonts w:hint="default" w:ascii="Arial" w:hAnsi="Arial" w:eastAsia="Segoe UI Emoji" w:cs="Arial"/>
          <w:b/>
          <w:bCs/>
          <w:i w:val="0"/>
          <w:iCs w:val="0"/>
          <w:caps w:val="0"/>
          <w:color w:val="000000"/>
          <w:spacing w:val="0"/>
          <w:sz w:val="28"/>
          <w:szCs w:val="28"/>
        </w:rPr>
      </w:pPr>
      <w:r>
        <w:rPr>
          <w:rFonts w:hint="default" w:ascii="Arial" w:hAnsi="Arial" w:eastAsia="Segoe UI Emoji" w:cs="Arial"/>
          <w:b/>
          <w:bCs/>
          <w:i w:val="0"/>
          <w:iCs w:val="0"/>
          <w:caps w:val="0"/>
          <w:color w:val="000000"/>
          <w:spacing w:val="0"/>
          <w:sz w:val="28"/>
          <w:szCs w:val="28"/>
        </w:rPr>
        <w:t>Product Technical Parameters*</w:t>
      </w:r>
    </w:p>
    <w:tbl>
      <w:tblPr>
        <w:tblStyle w:val="5"/>
        <w:tblpPr w:leftFromText="180" w:rightFromText="180" w:vertAnchor="text" w:horzAnchor="page" w:tblpX="1525" w:tblpY="84"/>
        <w:tblOverlap w:val="never"/>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77"/>
        <w:gridCol w:w="2064"/>
        <w:gridCol w:w="982"/>
        <w:gridCol w:w="2475"/>
      </w:tblGrid>
      <w:tr w14:paraId="6AA29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3777" w:type="dxa"/>
            <w:tcBorders>
              <w:left w:val="nil"/>
              <w:bottom w:val="nil"/>
              <w:right w:val="nil"/>
            </w:tcBorders>
            <w:vAlign w:val="center"/>
          </w:tcPr>
          <w:p w14:paraId="0A1B16E5">
            <w:pPr>
              <w:keepNext w:val="0"/>
              <w:keepLines w:val="0"/>
              <w:widowControl/>
              <w:suppressLineNumbers w:val="0"/>
              <w:jc w:val="center"/>
              <w:rPr>
                <w:rFonts w:hint="default" w:ascii="Arial" w:hAnsi="Arial" w:eastAsia="微软雅黑" w:cs="Arial"/>
                <w:b/>
                <w:bCs/>
                <w:sz w:val="24"/>
                <w:szCs w:val="24"/>
              </w:rPr>
            </w:pPr>
            <w:r>
              <w:rPr>
                <w:rFonts w:hint="default" w:ascii="Arial" w:hAnsi="Arial" w:eastAsia="宋体" w:cs="Arial"/>
                <w:b/>
                <w:bCs/>
                <w:caps w:val="0"/>
                <w:spacing w:val="0"/>
                <w:kern w:val="0"/>
                <w:sz w:val="24"/>
                <w:szCs w:val="24"/>
                <w:lang w:val="en-US" w:eastAsia="zh-CN" w:bidi="ar"/>
              </w:rPr>
              <w:t>Item</w:t>
            </w:r>
          </w:p>
        </w:tc>
        <w:tc>
          <w:tcPr>
            <w:tcW w:w="2064" w:type="dxa"/>
            <w:tcBorders>
              <w:top w:val="single" w:color="auto" w:sz="4" w:space="0"/>
              <w:left w:val="nil"/>
              <w:bottom w:val="nil"/>
              <w:right w:val="nil"/>
            </w:tcBorders>
            <w:vAlign w:val="center"/>
          </w:tcPr>
          <w:p w14:paraId="4C49F75A">
            <w:pPr>
              <w:keepNext w:val="0"/>
              <w:keepLines w:val="0"/>
              <w:widowControl/>
              <w:suppressLineNumbers w:val="0"/>
              <w:jc w:val="center"/>
              <w:rPr>
                <w:rFonts w:hint="default" w:ascii="Arial" w:hAnsi="Arial" w:eastAsia="微软雅黑" w:cs="Arial"/>
                <w:b/>
                <w:bCs/>
                <w:sz w:val="24"/>
                <w:szCs w:val="24"/>
              </w:rPr>
            </w:pPr>
            <w:r>
              <w:rPr>
                <w:rFonts w:hint="default" w:ascii="Arial" w:hAnsi="Arial" w:eastAsia="宋体" w:cs="Arial"/>
                <w:b/>
                <w:bCs/>
                <w:caps w:val="0"/>
                <w:spacing w:val="0"/>
                <w:kern w:val="0"/>
                <w:sz w:val="24"/>
                <w:szCs w:val="24"/>
                <w:lang w:val="en-US" w:eastAsia="zh-CN" w:bidi="ar"/>
              </w:rPr>
              <w:t>Parameter</w:t>
            </w:r>
          </w:p>
        </w:tc>
        <w:tc>
          <w:tcPr>
            <w:tcW w:w="982" w:type="dxa"/>
            <w:tcBorders>
              <w:top w:val="single" w:color="auto" w:sz="4" w:space="0"/>
              <w:left w:val="nil"/>
              <w:bottom w:val="nil"/>
              <w:right w:val="nil"/>
            </w:tcBorders>
            <w:vAlign w:val="center"/>
          </w:tcPr>
          <w:p w14:paraId="4CA31F52">
            <w:pPr>
              <w:keepNext w:val="0"/>
              <w:keepLines w:val="0"/>
              <w:widowControl/>
              <w:suppressLineNumbers w:val="0"/>
              <w:jc w:val="center"/>
              <w:rPr>
                <w:rFonts w:hint="default" w:ascii="Arial" w:hAnsi="Arial" w:eastAsia="微软雅黑" w:cs="Arial"/>
                <w:b/>
                <w:bCs/>
                <w:sz w:val="24"/>
                <w:szCs w:val="24"/>
              </w:rPr>
            </w:pPr>
            <w:r>
              <w:rPr>
                <w:rFonts w:hint="default" w:ascii="Arial" w:hAnsi="Arial" w:eastAsia="宋体" w:cs="Arial"/>
                <w:b/>
                <w:bCs/>
                <w:caps w:val="0"/>
                <w:spacing w:val="0"/>
                <w:kern w:val="0"/>
                <w:sz w:val="24"/>
                <w:szCs w:val="24"/>
                <w:lang w:val="en-US" w:eastAsia="zh-CN" w:bidi="ar"/>
              </w:rPr>
              <w:t>Unit</w:t>
            </w:r>
          </w:p>
        </w:tc>
        <w:tc>
          <w:tcPr>
            <w:tcW w:w="2475" w:type="dxa"/>
            <w:tcBorders>
              <w:top w:val="single" w:color="auto" w:sz="4" w:space="0"/>
              <w:left w:val="nil"/>
              <w:bottom w:val="nil"/>
              <w:right w:val="nil"/>
            </w:tcBorders>
            <w:vAlign w:val="center"/>
          </w:tcPr>
          <w:p w14:paraId="28F56EA6">
            <w:pPr>
              <w:keepNext w:val="0"/>
              <w:keepLines w:val="0"/>
              <w:widowControl/>
              <w:suppressLineNumbers w:val="0"/>
              <w:jc w:val="center"/>
              <w:rPr>
                <w:rFonts w:hint="default" w:ascii="Arial" w:hAnsi="Arial" w:eastAsia="微软雅黑" w:cs="Arial"/>
                <w:b/>
                <w:bCs/>
                <w:sz w:val="24"/>
                <w:szCs w:val="24"/>
              </w:rPr>
            </w:pPr>
            <w:r>
              <w:rPr>
                <w:rFonts w:hint="default" w:ascii="Arial" w:hAnsi="Arial" w:eastAsia="宋体" w:cs="Arial"/>
                <w:b/>
                <w:bCs/>
                <w:caps w:val="0"/>
                <w:spacing w:val="0"/>
                <w:kern w:val="0"/>
                <w:sz w:val="24"/>
                <w:szCs w:val="24"/>
                <w:lang w:val="en-US" w:eastAsia="zh-CN" w:bidi="ar"/>
              </w:rPr>
              <w:t>Test Method</w:t>
            </w:r>
          </w:p>
        </w:tc>
      </w:tr>
      <w:tr w14:paraId="0CC49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rPr>
        <w:tc>
          <w:tcPr>
            <w:tcW w:w="3777" w:type="dxa"/>
            <w:tcBorders>
              <w:left w:val="nil"/>
              <w:bottom w:val="nil"/>
              <w:right w:val="nil"/>
            </w:tcBorders>
            <w:vAlign w:val="center"/>
          </w:tcPr>
          <w:p w14:paraId="79D4409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Appearance</w:t>
            </w:r>
          </w:p>
        </w:tc>
        <w:tc>
          <w:tcPr>
            <w:tcW w:w="2064" w:type="dxa"/>
            <w:tcBorders>
              <w:top w:val="single" w:color="auto" w:sz="4" w:space="0"/>
              <w:left w:val="nil"/>
              <w:bottom w:val="nil"/>
              <w:right w:val="nil"/>
            </w:tcBorders>
            <w:vAlign w:val="center"/>
          </w:tcPr>
          <w:p w14:paraId="5EBE8A7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Milky white with strong blue tint</w:t>
            </w:r>
          </w:p>
        </w:tc>
        <w:tc>
          <w:tcPr>
            <w:tcW w:w="982" w:type="dxa"/>
            <w:tcBorders>
              <w:top w:val="single" w:color="auto" w:sz="4" w:space="0"/>
              <w:left w:val="nil"/>
              <w:bottom w:val="nil"/>
              <w:right w:val="nil"/>
            </w:tcBorders>
            <w:vAlign w:val="center"/>
          </w:tcPr>
          <w:p w14:paraId="4ED1E3B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75" w:type="dxa"/>
            <w:tcBorders>
              <w:top w:val="single" w:color="auto" w:sz="4" w:space="0"/>
              <w:left w:val="nil"/>
              <w:bottom w:val="nil"/>
              <w:right w:val="nil"/>
            </w:tcBorders>
            <w:vAlign w:val="center"/>
          </w:tcPr>
          <w:p w14:paraId="65190AE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14074.1-1993</w:t>
            </w:r>
          </w:p>
        </w:tc>
      </w:tr>
      <w:tr w14:paraId="570A5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3777" w:type="dxa"/>
            <w:tcBorders>
              <w:top w:val="nil"/>
              <w:left w:val="nil"/>
              <w:bottom w:val="nil"/>
              <w:right w:val="nil"/>
            </w:tcBorders>
            <w:vAlign w:val="center"/>
          </w:tcPr>
          <w:p w14:paraId="6D16DE9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Solid Content</w:t>
            </w:r>
          </w:p>
        </w:tc>
        <w:tc>
          <w:tcPr>
            <w:tcW w:w="2064" w:type="dxa"/>
            <w:tcBorders>
              <w:top w:val="nil"/>
              <w:left w:val="nil"/>
              <w:bottom w:val="nil"/>
              <w:right w:val="nil"/>
            </w:tcBorders>
            <w:vAlign w:val="center"/>
          </w:tcPr>
          <w:p w14:paraId="21660B6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36.00±1.00</w:t>
            </w:r>
          </w:p>
        </w:tc>
        <w:tc>
          <w:tcPr>
            <w:tcW w:w="982" w:type="dxa"/>
            <w:tcBorders>
              <w:top w:val="nil"/>
              <w:left w:val="nil"/>
              <w:bottom w:val="nil"/>
              <w:right w:val="nil"/>
            </w:tcBorders>
            <w:vAlign w:val="center"/>
          </w:tcPr>
          <w:p w14:paraId="62D0C32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75" w:type="dxa"/>
            <w:tcBorders>
              <w:top w:val="nil"/>
              <w:left w:val="nil"/>
              <w:bottom w:val="nil"/>
              <w:right w:val="nil"/>
            </w:tcBorders>
            <w:vAlign w:val="center"/>
          </w:tcPr>
          <w:p w14:paraId="7DDB098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2793-1995</w:t>
            </w:r>
          </w:p>
        </w:tc>
      </w:tr>
      <w:tr w14:paraId="515F1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3777" w:type="dxa"/>
            <w:tcBorders>
              <w:top w:val="nil"/>
              <w:left w:val="nil"/>
              <w:bottom w:val="nil"/>
              <w:right w:val="nil"/>
            </w:tcBorders>
            <w:vAlign w:val="center"/>
          </w:tcPr>
          <w:p w14:paraId="43FA0180">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Viscosity (25℃, Rotor 3#, 60rpm)</w:t>
            </w:r>
          </w:p>
        </w:tc>
        <w:tc>
          <w:tcPr>
            <w:tcW w:w="2064" w:type="dxa"/>
            <w:tcBorders>
              <w:top w:val="nil"/>
              <w:left w:val="nil"/>
              <w:bottom w:val="nil"/>
              <w:right w:val="nil"/>
            </w:tcBorders>
            <w:vAlign w:val="center"/>
          </w:tcPr>
          <w:p w14:paraId="69186F9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＞100</w:t>
            </w:r>
          </w:p>
        </w:tc>
        <w:tc>
          <w:tcPr>
            <w:tcW w:w="982" w:type="dxa"/>
            <w:tcBorders>
              <w:top w:val="nil"/>
              <w:left w:val="nil"/>
              <w:bottom w:val="nil"/>
              <w:right w:val="nil"/>
            </w:tcBorders>
            <w:vAlign w:val="center"/>
          </w:tcPr>
          <w:p w14:paraId="697E5A8F">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mPa·s</w:t>
            </w:r>
          </w:p>
        </w:tc>
        <w:tc>
          <w:tcPr>
            <w:tcW w:w="2475" w:type="dxa"/>
            <w:tcBorders>
              <w:top w:val="nil"/>
              <w:left w:val="nil"/>
              <w:bottom w:val="nil"/>
              <w:right w:val="nil"/>
            </w:tcBorders>
            <w:vAlign w:val="center"/>
          </w:tcPr>
          <w:p w14:paraId="2F65043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10247-1998</w:t>
            </w:r>
          </w:p>
        </w:tc>
      </w:tr>
      <w:tr w14:paraId="69D9E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3777" w:type="dxa"/>
            <w:tcBorders>
              <w:top w:val="nil"/>
              <w:left w:val="nil"/>
              <w:bottom w:val="nil"/>
              <w:right w:val="nil"/>
            </w:tcBorders>
            <w:vAlign w:val="center"/>
          </w:tcPr>
          <w:p w14:paraId="48784D4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pH</w:t>
            </w:r>
          </w:p>
        </w:tc>
        <w:tc>
          <w:tcPr>
            <w:tcW w:w="2064" w:type="dxa"/>
            <w:tcBorders>
              <w:top w:val="nil"/>
              <w:left w:val="nil"/>
              <w:bottom w:val="nil"/>
              <w:right w:val="nil"/>
            </w:tcBorders>
            <w:vAlign w:val="center"/>
          </w:tcPr>
          <w:p w14:paraId="4A3978B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6.5–7.0</w:t>
            </w:r>
          </w:p>
        </w:tc>
        <w:tc>
          <w:tcPr>
            <w:tcW w:w="982" w:type="dxa"/>
            <w:tcBorders>
              <w:top w:val="nil"/>
              <w:left w:val="nil"/>
              <w:bottom w:val="nil"/>
              <w:right w:val="nil"/>
            </w:tcBorders>
            <w:vAlign w:val="center"/>
          </w:tcPr>
          <w:p w14:paraId="19D972E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475" w:type="dxa"/>
            <w:tcBorders>
              <w:top w:val="nil"/>
              <w:left w:val="nil"/>
              <w:bottom w:val="nil"/>
              <w:right w:val="nil"/>
            </w:tcBorders>
            <w:vAlign w:val="center"/>
          </w:tcPr>
          <w:p w14:paraId="4619E10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14518-1993</w:t>
            </w:r>
          </w:p>
        </w:tc>
      </w:tr>
      <w:tr w14:paraId="0E2EC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3777" w:type="dxa"/>
            <w:tcBorders>
              <w:top w:val="nil"/>
              <w:left w:val="nil"/>
              <w:right w:val="nil"/>
            </w:tcBorders>
            <w:shd w:val="clear" w:color="auto" w:fill="auto"/>
            <w:vAlign w:val="center"/>
          </w:tcPr>
          <w:p w14:paraId="096438F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kern w:val="2"/>
                <w:sz w:val="24"/>
                <w:szCs w:val="24"/>
                <w:lang w:val="en-US" w:eastAsia="zh-CN" w:bidi="ar-SA"/>
              </w:rPr>
            </w:pPr>
            <w:r>
              <w:rPr>
                <w:rFonts w:hint="default" w:ascii="Arial" w:hAnsi="Arial" w:eastAsia="宋体" w:cs="Arial"/>
                <w:caps w:val="0"/>
                <w:spacing w:val="0"/>
                <w:kern w:val="0"/>
                <w:sz w:val="24"/>
                <w:szCs w:val="24"/>
                <w:lang w:val="en-US" w:eastAsia="zh-CN" w:bidi="ar"/>
              </w:rPr>
              <w:t>Ionic Type</w:t>
            </w:r>
          </w:p>
        </w:tc>
        <w:tc>
          <w:tcPr>
            <w:tcW w:w="2064" w:type="dxa"/>
            <w:tcBorders>
              <w:top w:val="nil"/>
              <w:left w:val="nil"/>
              <w:right w:val="nil"/>
            </w:tcBorders>
            <w:shd w:val="clear" w:color="auto" w:fill="auto"/>
            <w:vAlign w:val="center"/>
          </w:tcPr>
          <w:p w14:paraId="64EAC5A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kern w:val="2"/>
                <w:sz w:val="24"/>
                <w:szCs w:val="24"/>
                <w:lang w:val="en-US" w:eastAsia="zh-CN" w:bidi="ar-SA"/>
              </w:rPr>
            </w:pPr>
            <w:r>
              <w:rPr>
                <w:rFonts w:hint="default" w:ascii="Arial" w:hAnsi="Arial" w:eastAsia="宋体" w:cs="Arial"/>
                <w:caps w:val="0"/>
                <w:spacing w:val="0"/>
                <w:kern w:val="0"/>
                <w:sz w:val="24"/>
                <w:szCs w:val="24"/>
                <w:lang w:val="en-US" w:eastAsia="zh-CN" w:bidi="ar"/>
              </w:rPr>
              <w:t>Anionic</w:t>
            </w:r>
          </w:p>
        </w:tc>
        <w:tc>
          <w:tcPr>
            <w:tcW w:w="982" w:type="dxa"/>
            <w:tcBorders>
              <w:top w:val="nil"/>
              <w:left w:val="nil"/>
              <w:right w:val="nil"/>
            </w:tcBorders>
            <w:shd w:val="clear" w:color="auto" w:fill="auto"/>
            <w:vAlign w:val="center"/>
          </w:tcPr>
          <w:p w14:paraId="1DAD9B0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kern w:val="2"/>
                <w:sz w:val="24"/>
                <w:szCs w:val="24"/>
                <w:lang w:val="en-US" w:eastAsia="zh-CN" w:bidi="ar-SA"/>
              </w:rPr>
            </w:pPr>
            <w:r>
              <w:rPr>
                <w:rFonts w:hint="default" w:ascii="Arial" w:hAnsi="Arial" w:eastAsia="宋体" w:cs="Arial"/>
                <w:caps w:val="0"/>
                <w:spacing w:val="0"/>
                <w:kern w:val="0"/>
                <w:sz w:val="24"/>
                <w:szCs w:val="24"/>
                <w:lang w:val="en-US" w:eastAsia="zh-CN" w:bidi="ar"/>
              </w:rPr>
              <w:t>—</w:t>
            </w:r>
          </w:p>
        </w:tc>
        <w:tc>
          <w:tcPr>
            <w:tcW w:w="2475" w:type="dxa"/>
            <w:tcBorders>
              <w:top w:val="nil"/>
              <w:left w:val="nil"/>
              <w:right w:val="nil"/>
            </w:tcBorders>
            <w:shd w:val="clear" w:color="auto" w:fill="auto"/>
            <w:vAlign w:val="center"/>
          </w:tcPr>
          <w:p w14:paraId="2820D24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auto"/>
              <w:rPr>
                <w:rFonts w:hint="default" w:ascii="Arial" w:hAnsi="Arial" w:eastAsia="微软雅黑" w:cs="Arial"/>
                <w:kern w:val="2"/>
                <w:sz w:val="24"/>
                <w:szCs w:val="24"/>
                <w:lang w:val="en-US" w:eastAsia="zh-CN" w:bidi="ar-SA"/>
              </w:rPr>
            </w:pPr>
            <w:r>
              <w:rPr>
                <w:rFonts w:hint="default" w:ascii="Arial" w:hAnsi="Arial" w:eastAsia="宋体" w:cs="Arial"/>
                <w:caps w:val="0"/>
                <w:spacing w:val="0"/>
                <w:kern w:val="0"/>
                <w:sz w:val="24"/>
                <w:szCs w:val="24"/>
                <w:lang w:val="en-US" w:eastAsia="zh-CN" w:bidi="ar"/>
              </w:rPr>
              <w:t>—</w:t>
            </w:r>
          </w:p>
        </w:tc>
      </w:tr>
    </w:tbl>
    <w:p w14:paraId="4E870D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*The above parameters represent typical results only and shall not be regarded as specifications. Refer to the actual COA for details.</w:t>
      </w:r>
    </w:p>
    <w:p w14:paraId="2CF71E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eastAsia="宋体" w:cs="Arial"/>
          <w:color w:val="000000"/>
          <w:kern w:val="0"/>
          <w:sz w:val="24"/>
          <w:szCs w:val="24"/>
          <w:lang w:val="en-US" w:eastAsia="zh-CN" w:bidi="ar"/>
        </w:rPr>
      </w:pPr>
    </w:p>
    <w:p w14:paraId="746005A1">
      <w:pPr>
        <w:spacing w:line="360" w:lineRule="auto"/>
        <w:rPr>
          <w:rFonts w:hint="default" w:ascii="Arial" w:hAnsi="Arial" w:eastAsia="Segoe UI Emoji" w:cs="Arial"/>
          <w:b/>
          <w:bCs/>
          <w:i w:val="0"/>
          <w:iCs w:val="0"/>
          <w:caps w:val="0"/>
          <w:color w:val="000000"/>
          <w:spacing w:val="0"/>
          <w:sz w:val="28"/>
          <w:szCs w:val="28"/>
        </w:rPr>
      </w:pPr>
      <w:r>
        <w:rPr>
          <w:rFonts w:hint="default" w:ascii="Arial" w:hAnsi="Arial" w:eastAsia="Segoe UI Emoji" w:cs="Arial"/>
          <w:b/>
          <w:bCs/>
          <w:i w:val="0"/>
          <w:iCs w:val="0"/>
          <w:caps w:val="0"/>
          <w:color w:val="000000"/>
          <w:spacing w:val="0"/>
          <w:sz w:val="28"/>
          <w:szCs w:val="28"/>
        </w:rPr>
        <w:t>Application Scope</w:t>
      </w:r>
    </w:p>
    <w:p w14:paraId="4B0EDCA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Can be used as a coating for flexible substrates such as plastics and textiles (especially nylon fabrics).</w:t>
      </w:r>
    </w:p>
    <w:p w14:paraId="1D2C499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eastAsia="宋体" w:cs="Arial"/>
          <w:color w:val="000000"/>
          <w:kern w:val="0"/>
          <w:sz w:val="24"/>
          <w:szCs w:val="24"/>
          <w:lang w:val="en-US" w:eastAsia="zh-CN" w:bidi="ar"/>
        </w:rPr>
      </w:pPr>
    </w:p>
    <w:p w14:paraId="66ADC239">
      <w:pPr>
        <w:spacing w:line="360" w:lineRule="auto"/>
        <w:rPr>
          <w:rFonts w:hint="default" w:ascii="Arial" w:hAnsi="Arial" w:eastAsia="Segoe UI Emoji" w:cs="Arial"/>
          <w:b/>
          <w:bCs/>
          <w:i w:val="0"/>
          <w:iCs w:val="0"/>
          <w:caps w:val="0"/>
          <w:color w:val="000000"/>
          <w:spacing w:val="0"/>
          <w:sz w:val="28"/>
          <w:szCs w:val="28"/>
        </w:rPr>
      </w:pPr>
      <w:r>
        <w:rPr>
          <w:rFonts w:hint="default" w:ascii="Arial" w:hAnsi="Arial" w:eastAsia="Segoe UI Emoji" w:cs="Arial"/>
          <w:b/>
          <w:bCs/>
          <w:i w:val="0"/>
          <w:iCs w:val="0"/>
          <w:caps w:val="0"/>
          <w:color w:val="000000"/>
          <w:spacing w:val="0"/>
          <w:sz w:val="28"/>
          <w:szCs w:val="28"/>
        </w:rPr>
        <w:t>Packaging</w:t>
      </w:r>
      <w:r>
        <w:rPr>
          <w:rFonts w:hint="eastAsia" w:ascii="Arial" w:hAnsi="Arial" w:cs="Arial"/>
          <w:b/>
          <w:bCs/>
          <w:i w:val="0"/>
          <w:iCs w:val="0"/>
          <w:caps w:val="0"/>
          <w:color w:val="000000"/>
          <w:spacing w:val="0"/>
          <w:sz w:val="28"/>
          <w:szCs w:val="28"/>
          <w:lang w:val="en-US" w:eastAsia="zh-CN"/>
        </w:rPr>
        <w:t xml:space="preserve"> </w:t>
      </w:r>
      <w:bookmarkStart w:id="0" w:name="_GoBack"/>
      <w:bookmarkEnd w:id="0"/>
      <w:r>
        <w:rPr>
          <w:rFonts w:hint="default" w:ascii="Arial" w:hAnsi="Arial" w:eastAsia="Segoe UI Emoji" w:cs="Arial"/>
          <w:b/>
          <w:bCs/>
          <w:i w:val="0"/>
          <w:iCs w:val="0"/>
          <w:caps w:val="0"/>
          <w:color w:val="000000"/>
          <w:spacing w:val="0"/>
          <w:sz w:val="28"/>
          <w:szCs w:val="28"/>
        </w:rPr>
        <w:t xml:space="preserve">, Transportation </w:t>
      </w:r>
      <w:r>
        <w:rPr>
          <w:rFonts w:hint="eastAsia" w:ascii="Arial" w:hAnsi="Arial" w:eastAsia="Segoe UI Emoji" w:cs="Arial"/>
          <w:b/>
          <w:bCs/>
          <w:i w:val="0"/>
          <w:iCs w:val="0"/>
          <w:caps w:val="0"/>
          <w:color w:val="000000"/>
          <w:spacing w:val="0"/>
          <w:sz w:val="28"/>
          <w:szCs w:val="28"/>
          <w:lang w:val="en-US" w:eastAsia="zh-CN"/>
        </w:rPr>
        <w:t>,</w:t>
      </w:r>
      <w:r>
        <w:rPr>
          <w:rFonts w:hint="default" w:ascii="Arial" w:hAnsi="Arial" w:eastAsia="Segoe UI Emoji" w:cs="Arial"/>
          <w:b/>
          <w:bCs/>
          <w:i w:val="0"/>
          <w:iCs w:val="0"/>
          <w:caps w:val="0"/>
          <w:color w:val="000000"/>
          <w:spacing w:val="0"/>
          <w:sz w:val="28"/>
          <w:szCs w:val="28"/>
        </w:rPr>
        <w:t xml:space="preserve"> Storage</w:t>
      </w:r>
    </w:p>
    <w:p w14:paraId="7DC25618">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425" w:leftChars="0" w:right="0" w:hanging="425" w:firstLineChars="0"/>
        <w:jc w:val="left"/>
        <w:textAlignment w:val="auto"/>
        <w:rPr>
          <w:rFonts w:hint="default" w:ascii="Arial" w:hAnsi="Arial" w:cs="Arial"/>
          <w:color w:val="000000"/>
          <w:sz w:val="24"/>
          <w:szCs w:val="24"/>
        </w:rPr>
      </w:pPr>
      <w:r>
        <w:rPr>
          <w:rFonts w:hint="default" w:ascii="Arial" w:hAnsi="Arial" w:cs="Arial"/>
          <w:b/>
          <w:bCs/>
          <w:color w:val="000000"/>
          <w:sz w:val="24"/>
          <w:szCs w:val="24"/>
        </w:rPr>
        <w:t>Packaging:</w:t>
      </w:r>
      <w:r>
        <w:rPr>
          <w:rFonts w:hint="default" w:ascii="Arial" w:hAnsi="Arial" w:cs="Arial"/>
          <w:color w:val="000000"/>
          <w:sz w:val="24"/>
          <w:szCs w:val="24"/>
        </w:rPr>
        <w:t xml:space="preserve"> Plastic drums, 50 kg and 125 kg.</w:t>
      </w:r>
    </w:p>
    <w:p w14:paraId="47428D71">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425" w:leftChars="0" w:right="0" w:hanging="425" w:firstLineChars="0"/>
        <w:jc w:val="left"/>
        <w:textAlignment w:val="auto"/>
        <w:rPr>
          <w:rFonts w:hint="default" w:ascii="Arial" w:hAnsi="Arial" w:cs="Arial"/>
          <w:color w:val="000000"/>
          <w:sz w:val="24"/>
          <w:szCs w:val="24"/>
        </w:rPr>
      </w:pPr>
      <w:r>
        <w:rPr>
          <w:rFonts w:hint="default" w:ascii="Arial" w:hAnsi="Arial" w:cs="Arial"/>
          <w:b/>
          <w:bCs/>
          <w:color w:val="000000"/>
          <w:sz w:val="24"/>
          <w:szCs w:val="24"/>
        </w:rPr>
        <w:t>Transportation:</w:t>
      </w:r>
      <w:r>
        <w:rPr>
          <w:rFonts w:hint="default" w:ascii="Arial" w:hAnsi="Arial" w:cs="Arial"/>
          <w:color w:val="000000"/>
          <w:sz w:val="24"/>
          <w:szCs w:val="24"/>
        </w:rPr>
        <w:t xml:space="preserve"> Shipping or self-pickup.</w:t>
      </w:r>
    </w:p>
    <w:p w14:paraId="5E429C29">
      <w:pPr>
        <w:keepNext w:val="0"/>
        <w:keepLines w:val="0"/>
        <w:pageBreakBefore w:val="0"/>
        <w:numPr>
          <w:ilvl w:val="0"/>
          <w:numId w:val="2"/>
        </w:numPr>
        <w:kinsoku/>
        <w:wordWrap/>
        <w:overflowPunct/>
        <w:topLinePunct w:val="0"/>
        <w:autoSpaceDE/>
        <w:autoSpaceDN/>
        <w:bidi w:val="0"/>
        <w:adjustRightInd/>
        <w:snapToGrid/>
        <w:spacing w:line="400" w:lineRule="exact"/>
        <w:ind w:left="425" w:leftChars="0" w:hanging="425" w:firstLineChars="0"/>
        <w:textAlignment w:val="auto"/>
        <w:rPr>
          <w:rFonts w:hint="default" w:ascii="Arial" w:hAnsi="Arial" w:eastAsia="宋体" w:cs="Arial"/>
          <w:sz w:val="24"/>
          <w:szCs w:val="24"/>
        </w:rPr>
      </w:pPr>
      <w:r>
        <w:rPr>
          <w:rFonts w:hint="default" w:ascii="Arial" w:hAnsi="Arial" w:eastAsia="宋体" w:cs="Arial"/>
          <w:b/>
          <w:bCs/>
          <w:sz w:val="24"/>
          <w:szCs w:val="24"/>
        </w:rPr>
        <w:t>Storage:</w:t>
      </w:r>
      <w:r>
        <w:rPr>
          <w:rFonts w:hint="default" w:ascii="Arial" w:hAnsi="Arial" w:eastAsia="宋体" w:cs="Arial"/>
          <w:sz w:val="24"/>
          <w:szCs w:val="24"/>
        </w:rPr>
        <w:t>① Store in a ventilated and dry place at 5℃–35℃, avoid direct sunlight or freezing. Shelf life: 6 months.② Non-dangerous goods.</w:t>
      </w:r>
    </w:p>
    <w:p w14:paraId="60D8EC68">
      <w:pPr>
        <w:rPr>
          <w:rFonts w:hint="default" w:ascii="Arial" w:hAnsi="Arial" w:eastAsia="宋体" w:cs="Arial"/>
          <w:sz w:val="24"/>
          <w:szCs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20"/>
      </w:tblGrid>
      <w:tr w14:paraId="5187B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8720" w:type="dxa"/>
            <w:tcBorders>
              <w:left w:val="nil"/>
              <w:bottom w:val="nil"/>
              <w:right w:val="nil"/>
            </w:tcBorders>
            <w:vAlign w:val="top"/>
          </w:tcPr>
          <w:p w14:paraId="740CD5AB">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sz w:val="24"/>
                <w:szCs w:val="24"/>
              </w:rPr>
            </w:pPr>
            <w:r>
              <w:rPr>
                <w:rFonts w:hint="default" w:ascii="Arial" w:hAnsi="Arial" w:eastAsia="宋体" w:cs="Arial"/>
                <w:sz w:val="24"/>
                <w:szCs w:val="24"/>
              </w:rPr>
              <w:t>Prolonged storage at low temperatures may cause irreversible damage to the product. Keep the container sealed; otherwise, water evaporation will form an insoluble polymer film on the surface. Expiration of the 6-month shelf life does not mean the product is out of specification. Test before use to verify compliance with specifications and technical parameters.</w:t>
            </w:r>
          </w:p>
        </w:tc>
      </w:tr>
    </w:tbl>
    <w:p w14:paraId="1872712C">
      <w:pPr>
        <w:spacing w:line="360" w:lineRule="auto"/>
        <w:rPr>
          <w:rFonts w:hint="default" w:ascii="Arial" w:hAnsi="Arial" w:eastAsia="微软雅黑" w:cs="Arial"/>
          <w:b/>
          <w:bCs/>
          <w:sz w:val="24"/>
          <w:szCs w:val="24"/>
        </w:rPr>
      </w:pPr>
    </w:p>
    <w:p w14:paraId="24D9F6D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Precautions</w:t>
      </w:r>
    </w:p>
    <w:p w14:paraId="220EC50D">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Adding a curing agent can improve fastness but may affect hand feel.</w:t>
      </w:r>
    </w:p>
    <w:p w14:paraId="3406829B">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The slurry with cros</w:t>
      </w:r>
      <w:r>
        <w:rPr>
          <w:rFonts w:hint="default" w:ascii="Arial" w:hAnsi="Arial" w:cs="Arial"/>
          <w:color w:val="000000"/>
          <w:sz w:val="24"/>
          <w:szCs w:val="24"/>
        </w:rPr>
        <w:t>slinking agent must be used up within 24 hours.</w:t>
      </w:r>
    </w:p>
    <w:p w14:paraId="2FA49A4E">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Since the product is synthesized from special hydrolysis-resistant polyester, the dry film has good hydrolysis resistance. However, slow hydrolysis may still occur during storage of the dispersion. It is recommended to use the product immediately after purchase.</w:t>
      </w:r>
    </w:p>
    <w:p w14:paraId="2B506F7B">
      <w:pPr>
        <w:tabs>
          <w:tab w:val="left" w:pos="720"/>
          <w:tab w:val="left" w:pos="1980"/>
        </w:tabs>
        <w:spacing w:line="360" w:lineRule="auto"/>
        <w:ind w:left="0" w:leftChars="0" w:firstLine="464" w:firstLineChars="200"/>
        <w:rPr>
          <w:rFonts w:hint="default" w:ascii="Arial" w:hAnsi="Arial" w:eastAsia="微软雅黑" w:cs="Arial"/>
          <w:spacing w:val="-4"/>
          <w:sz w:val="24"/>
          <w:szCs w:val="24"/>
        </w:rPr>
      </w:pPr>
    </w:p>
    <w:p w14:paraId="6DE134DA">
      <w:pPr>
        <w:spacing w:line="360" w:lineRule="auto"/>
        <w:rPr>
          <w:rFonts w:hint="default" w:ascii="Arial" w:hAnsi="Arial" w:eastAsia="微软雅黑" w:cs="Arial"/>
          <w:b/>
          <w:bCs/>
          <w:sz w:val="24"/>
          <w:szCs w:val="24"/>
        </w:rPr>
      </w:pPr>
    </w:p>
    <w:p w14:paraId="3A18CC66">
      <w:pPr>
        <w:spacing w:line="360" w:lineRule="auto"/>
        <w:rPr>
          <w:rFonts w:hint="default" w:ascii="Arial" w:hAnsi="Arial" w:eastAsia="微软雅黑" w:cs="Arial"/>
          <w:b/>
          <w:bCs/>
          <w:sz w:val="24"/>
          <w:szCs w:val="24"/>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555BB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0155D868">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Arial" w:hAnsi="Arial" w:eastAsia="微软雅黑" w:cs="Arial"/>
                <w:b/>
                <w:bCs/>
                <w:sz w:val="24"/>
                <w:szCs w:val="24"/>
              </w:rPr>
            </w:pPr>
            <w:r>
              <w:rPr>
                <w:rFonts w:hint="default" w:ascii="Arial" w:hAnsi="Arial" w:eastAsia="宋体" w:cs="Arial"/>
                <w:sz w:val="24"/>
                <w:szCs w:val="24"/>
              </w:rPr>
              <w:t>The above information only represents our laboratory quality evaluation results and does not guarantee the product’s performance or suitability for specific applications. Please conduct necessary tests before use. Thank you for your choice and support!</w:t>
            </w:r>
          </w:p>
        </w:tc>
      </w:tr>
    </w:tbl>
    <w:p w14:paraId="5BD1CEB4">
      <w:pPr>
        <w:spacing w:line="360" w:lineRule="auto"/>
        <w:rPr>
          <w:rFonts w:hint="default" w:ascii="Arial" w:hAnsi="Arial" w:eastAsia="微软雅黑" w:cs="Arial"/>
          <w:b/>
          <w:bCs/>
          <w:sz w:val="24"/>
          <w:szCs w:val="24"/>
        </w:rPr>
      </w:pPr>
    </w:p>
    <w:sectPr>
      <w:headerReference r:id="rId3" w:type="default"/>
      <w:footerReference r:id="rId4" w:type="default"/>
      <w:type w:val="continuous"/>
      <w:pgSz w:w="11906" w:h="16838"/>
      <w:pgMar w:top="850" w:right="1417" w:bottom="850" w:left="141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Emoji">
    <w:panose1 w:val="020B0502040204020203"/>
    <w:charset w:val="00"/>
    <w:family w:val="auto"/>
    <w:pitch w:val="default"/>
    <w:sig w:usb0="00000001" w:usb1="02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A1556">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1312"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A1508E">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1312;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71A1508E">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6D48A">
    <w:pPr>
      <w:pStyle w:val="4"/>
      <w:rPr>
        <w:sz w:val="10"/>
        <w:szCs w:val="10"/>
      </w:rPr>
    </w:pPr>
    <w:r>
      <w:rPr>
        <w:sz w:val="10"/>
      </w:rPr>
      <mc:AlternateContent>
        <mc:Choice Requires="wps">
          <w:drawing>
            <wp:anchor distT="0" distB="0" distL="114300" distR="114300" simplePos="0" relativeHeight="251659264" behindDoc="0" locked="0" layoutInCell="1" allowOverlap="1">
              <wp:simplePos x="0" y="0"/>
              <wp:positionH relativeFrom="column">
                <wp:posOffset>4333875</wp:posOffset>
              </wp:positionH>
              <wp:positionV relativeFrom="paragraph">
                <wp:posOffset>28575</wp:posOffset>
              </wp:positionV>
              <wp:extent cx="1597025" cy="6191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597025" cy="619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C91BA4">
                          <w:pP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806</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1.25pt;margin-top:2.25pt;height:48.75pt;width:125.75pt;z-index:251659264;mso-width-relative:page;mso-height-relative:page;" filled="f" stroked="f" coordsize="21600,21600" o:gfxdata="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BgDj0doAAAAJAQAADwAAAAAAAAABACAAAAAiAAAAZHJz&#10;L2Rvd25yZXYueG1sUEsBAhQAFAAAAAgAh07iQEioBGs7AgAAZgQAAA4AAAAAAAAAAQAgAAAAKQEA&#10;AGRycy9lMm9Eb2MueG1sUEsFBgAAAAAGAAYAWQEAANYFAAAAAA==&#10;">
              <v:fill on="f" focussize="0,0"/>
              <v:stroke on="f" weight="0.5pt"/>
              <v:imagedata o:title=""/>
              <o:lock v:ext="edit" aspectratio="f"/>
              <v:textbox>
                <w:txbxContent>
                  <w:p w14:paraId="3EC91BA4">
                    <w:pP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806</w:t>
                    </w:r>
                  </w:p>
                </w:txbxContent>
              </v:textbox>
            </v:shape>
          </w:pict>
        </mc:Fallback>
      </mc:AlternateContent>
    </w:r>
    <w:r>
      <w:rPr>
        <w:sz w:val="10"/>
      </w:rPr>
      <mc:AlternateContent>
        <mc:Choice Requires="wps">
          <w:drawing>
            <wp:anchor distT="0" distB="0" distL="114300" distR="114300" simplePos="0" relativeHeight="251660288" behindDoc="0" locked="0" layoutInCell="1" allowOverlap="1">
              <wp:simplePos x="0" y="0"/>
              <wp:positionH relativeFrom="column">
                <wp:posOffset>3573145</wp:posOffset>
              </wp:positionH>
              <wp:positionV relativeFrom="paragraph">
                <wp:posOffset>563880</wp:posOffset>
              </wp:positionV>
              <wp:extent cx="1828800" cy="36893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3689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7EC1BE">
                          <w:pPr>
                            <w:rPr>
                              <w:rFonts w:hint="eastAsia" w:ascii="微软雅黑" w:hAnsi="微软雅黑" w:eastAsia="微软雅黑" w:cs="微软雅黑"/>
                              <w:b/>
                              <w:bCs/>
                              <w:color w:val="00A2E9"/>
                              <w:sz w:val="44"/>
                              <w:szCs w:val="44"/>
                              <w14:shadow w14:blurRad="38100" w14:dist="19050" w14:dir="2700000" w14:sx="100000" w14:sy="100000" w14:kx="0" w14:ky="0" w14:algn="tl">
                                <w14:schemeClr w14:val="dk1">
                                  <w14:alpha w14:val="60000"/>
                                </w14:schemeClr>
                              </w14:shadow>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1.35pt;margin-top:44.4pt;height:29.05pt;width:144pt;mso-wrap-style:none;z-index:251660288;mso-width-relative:page;mso-height-relative:page;" filled="f" stroked="f" coordsize="21600,21600" o:gfxdata="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5O6fs9sAAAAKAQAADwAAAAAAAAABACAAAAAiAAAAZHJz&#10;L2Rvd25yZXYueG1sUEsBAhQAFAAAAAgAh07iQLqT8qo6AgAAZAQAAA4AAAAAAAAAAQAgAAAAKgEA&#10;AGRycy9lMm9Eb2MueG1sUEsFBgAAAAAGAAYAWQEAANYFAAAAAA==&#10;">
              <v:fill on="f" focussize="0,0"/>
              <v:stroke on="f" weight="0.5pt"/>
              <v:imagedata o:title=""/>
              <o:lock v:ext="edit" aspectratio="f"/>
              <v:textbox>
                <w:txbxContent>
                  <w:p w14:paraId="617EC1BE">
                    <w:pPr>
                      <w:rPr>
                        <w:rFonts w:hint="eastAsia" w:ascii="微软雅黑" w:hAnsi="微软雅黑" w:eastAsia="微软雅黑" w:cs="微软雅黑"/>
                        <w:b/>
                        <w:bCs/>
                        <w:color w:val="00A2E9"/>
                        <w:sz w:val="44"/>
                        <w:szCs w:val="44"/>
                        <w14:shadow w14:blurRad="38100" w14:dist="19050" w14:dir="2700000" w14:sx="100000" w14:sy="100000" w14:kx="0" w14:ky="0" w14:algn="tl">
                          <w14:schemeClr w14:val="dk1">
                            <w14:alpha w14:val="60000"/>
                          </w14:schemeClr>
                        </w14:shadow>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v:textbox>
            </v:shape>
          </w:pict>
        </mc:Fallback>
      </mc:AlternateContent>
    </w:r>
    <w:r>
      <w:rPr>
        <w:sz w:val="10"/>
        <w:szCs w:val="10"/>
      </w:rPr>
      <w:drawing>
        <wp:inline distT="0" distB="0" distL="0" distR="0">
          <wp:extent cx="773430" cy="877570"/>
          <wp:effectExtent l="0" t="0" r="7620" b="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p w14:paraId="7F2488AC">
    <w:pPr>
      <w:pStyle w:val="4"/>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180FE1"/>
    <w:multiLevelType w:val="singleLevel"/>
    <w:tmpl w:val="E8180FE1"/>
    <w:lvl w:ilvl="0" w:tentative="0">
      <w:start w:val="1"/>
      <w:numFmt w:val="decimal"/>
      <w:lvlText w:val="%1."/>
      <w:lvlJc w:val="left"/>
      <w:pPr>
        <w:ind w:left="425" w:hanging="425"/>
      </w:pPr>
      <w:rPr>
        <w:rFonts w:hint="default"/>
      </w:rPr>
    </w:lvl>
  </w:abstractNum>
  <w:abstractNum w:abstractNumId="1">
    <w:nsid w:val="529BEDEE"/>
    <w:multiLevelType w:val="singleLevel"/>
    <w:tmpl w:val="529BEDEE"/>
    <w:lvl w:ilvl="0" w:tentative="0">
      <w:start w:val="1"/>
      <w:numFmt w:val="decimal"/>
      <w:lvlText w:val="%1."/>
      <w:lvlJc w:val="left"/>
      <w:pPr>
        <w:ind w:left="425" w:hanging="425"/>
      </w:pPr>
      <w:rPr>
        <w:rFonts w:hint="default"/>
      </w:rPr>
    </w:lvl>
  </w:abstractNum>
  <w:abstractNum w:abstractNumId="2">
    <w:nsid w:val="5D9F3CAB"/>
    <w:multiLevelType w:val="singleLevel"/>
    <w:tmpl w:val="5D9F3CAB"/>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kMmFjNTIzYTc2MzM4YzI5MjhhZjFlYzFlYTkyNWUifQ=="/>
    <w:docVar w:name="KSO_WPS_MARK_KEY" w:val="9e5ed2ef-df1b-49b7-8e7e-1ada10df08c8"/>
  </w:docVars>
  <w:rsids>
    <w:rsidRoot w:val="00912B14"/>
    <w:rsid w:val="0009752F"/>
    <w:rsid w:val="00136635"/>
    <w:rsid w:val="00156019"/>
    <w:rsid w:val="00216BCC"/>
    <w:rsid w:val="00296707"/>
    <w:rsid w:val="002E5E7C"/>
    <w:rsid w:val="002F6D5B"/>
    <w:rsid w:val="003550AC"/>
    <w:rsid w:val="00355B87"/>
    <w:rsid w:val="003D439F"/>
    <w:rsid w:val="00455912"/>
    <w:rsid w:val="004C78B2"/>
    <w:rsid w:val="00505831"/>
    <w:rsid w:val="00527365"/>
    <w:rsid w:val="00823906"/>
    <w:rsid w:val="00867CB0"/>
    <w:rsid w:val="008F71CD"/>
    <w:rsid w:val="00912B14"/>
    <w:rsid w:val="00942949"/>
    <w:rsid w:val="0097112D"/>
    <w:rsid w:val="00B31E2D"/>
    <w:rsid w:val="00B364E6"/>
    <w:rsid w:val="00B60395"/>
    <w:rsid w:val="00CB1423"/>
    <w:rsid w:val="00D55D1D"/>
    <w:rsid w:val="00F02A8D"/>
    <w:rsid w:val="00F253D2"/>
    <w:rsid w:val="00FE12DA"/>
    <w:rsid w:val="011078C7"/>
    <w:rsid w:val="0183453D"/>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AC3441"/>
    <w:rsid w:val="0AC459AA"/>
    <w:rsid w:val="0AD52242"/>
    <w:rsid w:val="0B8F4175"/>
    <w:rsid w:val="0BA22DE5"/>
    <w:rsid w:val="0BC1292A"/>
    <w:rsid w:val="0C0C50ED"/>
    <w:rsid w:val="0C2F32F7"/>
    <w:rsid w:val="0CAF6706"/>
    <w:rsid w:val="0CE9794A"/>
    <w:rsid w:val="0D054058"/>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697CAC"/>
    <w:rsid w:val="27F67809"/>
    <w:rsid w:val="285B5212"/>
    <w:rsid w:val="289366BF"/>
    <w:rsid w:val="28D249F8"/>
    <w:rsid w:val="28DC7F0B"/>
    <w:rsid w:val="29FE3870"/>
    <w:rsid w:val="2A2A637C"/>
    <w:rsid w:val="2A706411"/>
    <w:rsid w:val="2AFD21C9"/>
    <w:rsid w:val="2B03342D"/>
    <w:rsid w:val="2D0619FA"/>
    <w:rsid w:val="2D534BA2"/>
    <w:rsid w:val="2DA21723"/>
    <w:rsid w:val="2DBA1DF2"/>
    <w:rsid w:val="2EEB0EA8"/>
    <w:rsid w:val="2F7B222C"/>
    <w:rsid w:val="2F8C6D98"/>
    <w:rsid w:val="2FFE4C0B"/>
    <w:rsid w:val="304463CA"/>
    <w:rsid w:val="30954A7B"/>
    <w:rsid w:val="30AE3614"/>
    <w:rsid w:val="30D00C4A"/>
    <w:rsid w:val="31815D52"/>
    <w:rsid w:val="3199522E"/>
    <w:rsid w:val="31F1602E"/>
    <w:rsid w:val="329A50BF"/>
    <w:rsid w:val="32B617CD"/>
    <w:rsid w:val="33075F48"/>
    <w:rsid w:val="3424477C"/>
    <w:rsid w:val="34B166F0"/>
    <w:rsid w:val="34C65B5C"/>
    <w:rsid w:val="34CF6B76"/>
    <w:rsid w:val="3538471B"/>
    <w:rsid w:val="358F0212"/>
    <w:rsid w:val="362F0630"/>
    <w:rsid w:val="366B0946"/>
    <w:rsid w:val="366E5B00"/>
    <w:rsid w:val="377356FF"/>
    <w:rsid w:val="37B02520"/>
    <w:rsid w:val="37B5307D"/>
    <w:rsid w:val="37CA4590"/>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6226B63"/>
    <w:rsid w:val="46511CBF"/>
    <w:rsid w:val="46650534"/>
    <w:rsid w:val="47173CBF"/>
    <w:rsid w:val="47B265AF"/>
    <w:rsid w:val="48541414"/>
    <w:rsid w:val="48543647"/>
    <w:rsid w:val="488E1498"/>
    <w:rsid w:val="48B33638"/>
    <w:rsid w:val="48CB55C6"/>
    <w:rsid w:val="48EC2E70"/>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50B73D9"/>
    <w:rsid w:val="55B31438"/>
    <w:rsid w:val="568850AA"/>
    <w:rsid w:val="56D71B8E"/>
    <w:rsid w:val="5755710D"/>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554405"/>
    <w:rsid w:val="6C7864D8"/>
    <w:rsid w:val="6CA67BE1"/>
    <w:rsid w:val="6D5957F1"/>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EF97531"/>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389</Words>
  <Characters>2266</Characters>
  <Lines>6</Lines>
  <Paragraphs>1</Paragraphs>
  <TotalTime>1</TotalTime>
  <ScaleCrop>false</ScaleCrop>
  <LinksUpToDate>false</LinksUpToDate>
  <CharactersWithSpaces>2602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2024-12-19T06:47:00Z</dcterms:created>
  <dc:creator>Davis</dc:creator>
  <cp:lastModifiedBy>戴眼镜的麻杆。</cp:lastModifiedBy>
  <cp:lastPrinted>2024-06-20T10:29:00Z</cp:lastPrinted>
  <dcterms:modified xsi:type="dcterms:W3CDTF">2026-04-16T07:29:04Z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F1CC4D698DEC494796B486DFFB831523_13</vt:lpwstr>
  </property>
  <property fmtid="{D5CDD505-2E9C-101B-9397-08002B2CF9AE}" pid="4" name="KSOTemplateDocerSaveRecord">
    <vt:lpwstr>eyJoZGlkIjoiN2FkMmFjNTIzYTc2MzM4YzI5MjhhZjFlYzFlYTkyNWUiLCJ1c2VySWQiOiIxMTk5MzAzNjYzIn0=</vt:lpwstr>
  </property>
</Properties>
</file>