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35A88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2"/>
          <w:szCs w:val="32"/>
        </w:rPr>
      </w:pPr>
      <w:r>
        <w:rPr>
          <w:rFonts w:hint="default" w:ascii="Arial" w:hAnsi="Arial" w:cs="Arial"/>
          <w:color w:val="000000"/>
          <w:sz w:val="32"/>
          <w:szCs w:val="32"/>
        </w:rPr>
        <w:t>Product Technical Specification</w:t>
      </w:r>
    </w:p>
    <w:p w14:paraId="497FB89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Introduction</w:t>
      </w:r>
    </w:p>
    <w:p w14:paraId="270559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480" w:firstLineChars="200"/>
        <w:jc w:val="left"/>
        <w:textAlignment w:val="auto"/>
        <w:rPr>
          <w:rFonts w:hint="default" w:ascii="Arial" w:hAnsi="Arial" w:cs="Arial"/>
          <w:color w:val="000000"/>
          <w:sz w:val="24"/>
          <w:szCs w:val="24"/>
        </w:rPr>
      </w:pPr>
      <w:r>
        <w:rPr>
          <w:rFonts w:hint="default" w:ascii="Arial" w:hAnsi="Arial" w:cs="Arial"/>
          <w:color w:val="000000"/>
          <w:sz w:val="24"/>
          <w:szCs w:val="24"/>
        </w:rPr>
        <w:t>CN-868 is an anionic waterborne polyurethane resin. It is a soft, high-strength, high-adhesion, yellowing-resistant waterborne polyurethane emulsion. It features good film softness, high tensile strength and elongation rate, and is a low-modulus, high-strength emulsion designed for textiles, PU elastomers and other applications.</w:t>
      </w:r>
    </w:p>
    <w:p w14:paraId="455D4A9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4"/>
          <w:szCs w:val="24"/>
        </w:rPr>
      </w:pPr>
    </w:p>
    <w:p w14:paraId="60B7F2D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Product Features</w:t>
      </w:r>
    </w:p>
    <w:p w14:paraId="5F400094">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rFonts w:hint="default" w:ascii="Arial" w:hAnsi="Arial" w:eastAsia="黑体" w:cs="Arial"/>
          <w:color w:val="000000"/>
          <w:sz w:val="24"/>
          <w:szCs w:val="24"/>
        </w:rPr>
      </w:pPr>
      <w:r>
        <w:rPr>
          <w:rFonts w:hint="default" w:ascii="Arial" w:hAnsi="Arial" w:cs="Arial"/>
          <w:color w:val="000000"/>
          <w:sz w:val="24"/>
          <w:szCs w:val="24"/>
          <w:bdr w:val="none" w:color="auto" w:sz="0" w:space="0"/>
        </w:rPr>
        <w:t>Smal</w:t>
      </w:r>
      <w:r>
        <w:rPr>
          <w:rFonts w:hint="default" w:ascii="Arial" w:hAnsi="Arial" w:eastAsia="黑体" w:cs="Arial"/>
          <w:color w:val="000000"/>
          <w:sz w:val="24"/>
          <w:szCs w:val="24"/>
          <w:bdr w:val="none" w:color="auto" w:sz="0" w:space="0"/>
        </w:rPr>
        <w:t>l and uniformly distributed emulsion particle size; viscosity adjustable as required, easy to apply.</w:t>
      </w:r>
    </w:p>
    <w:p w14:paraId="18CC00AD">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rFonts w:hint="default" w:ascii="Arial" w:hAnsi="Arial" w:eastAsia="黑体" w:cs="Arial"/>
          <w:color w:val="000000"/>
          <w:sz w:val="24"/>
          <w:szCs w:val="24"/>
        </w:rPr>
      </w:pPr>
      <w:r>
        <w:rPr>
          <w:rFonts w:hint="default" w:ascii="Arial" w:hAnsi="Arial" w:eastAsia="黑体" w:cs="Arial"/>
          <w:color w:val="000000"/>
          <w:sz w:val="24"/>
          <w:szCs w:val="24"/>
          <w:bdr w:val="none" w:color="auto" w:sz="0" w:space="0"/>
        </w:rPr>
        <w:t>Milky white with slight blue transparency, offering excellent leveling and rheological properties.</w:t>
      </w:r>
    </w:p>
    <w:p w14:paraId="55292CFF">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rFonts w:hint="default" w:ascii="Arial" w:hAnsi="Arial" w:eastAsia="黑体" w:cs="Arial"/>
          <w:color w:val="000000"/>
          <w:sz w:val="24"/>
          <w:szCs w:val="24"/>
        </w:rPr>
      </w:pPr>
      <w:r>
        <w:rPr>
          <w:rFonts w:hint="default" w:ascii="Arial" w:hAnsi="Arial" w:eastAsia="黑体" w:cs="Arial"/>
          <w:color w:val="000000"/>
          <w:sz w:val="24"/>
          <w:szCs w:val="24"/>
          <w:bdr w:val="none" w:color="auto" w:sz="0" w:space="0"/>
        </w:rPr>
        <w:t>Medium solid content, forming full, soft films with high tensile strength.</w:t>
      </w:r>
    </w:p>
    <w:p w14:paraId="1D15AB5A">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rFonts w:hint="default" w:ascii="Arial" w:hAnsi="Arial" w:eastAsia="黑体" w:cs="Arial"/>
          <w:color w:val="000000"/>
          <w:sz w:val="24"/>
          <w:szCs w:val="24"/>
        </w:rPr>
      </w:pPr>
      <w:r>
        <w:rPr>
          <w:rFonts w:hint="default" w:ascii="Arial" w:hAnsi="Arial" w:eastAsia="黑体" w:cs="Arial"/>
          <w:color w:val="000000"/>
          <w:sz w:val="24"/>
          <w:szCs w:val="24"/>
          <w:bdr w:val="none" w:color="auto" w:sz="0" w:space="0"/>
        </w:rPr>
        <w:t>Non-tacky after film formation; no blocking under hot pressing at 80°C.</w:t>
      </w:r>
    </w:p>
    <w:p w14:paraId="47B4399C">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rFonts w:hint="default" w:ascii="Arial" w:hAnsi="Arial" w:eastAsia="黑体" w:cs="Arial"/>
          <w:color w:val="000000"/>
          <w:sz w:val="24"/>
          <w:szCs w:val="24"/>
        </w:rPr>
      </w:pPr>
      <w:r>
        <w:rPr>
          <w:rFonts w:hint="default" w:ascii="Arial" w:hAnsi="Arial" w:eastAsia="黑体" w:cs="Arial"/>
          <w:color w:val="000000"/>
          <w:sz w:val="24"/>
          <w:szCs w:val="24"/>
          <w:bdr w:val="none" w:color="auto" w:sz="0" w:space="0"/>
        </w:rPr>
        <w:t>Excellent adhesion on textiles, elastomers and other substrates, superior to comparable products in the market.</w:t>
      </w:r>
    </w:p>
    <w:p w14:paraId="05099D59">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0" w:right="0" w:rightChars="0"/>
        <w:jc w:val="left"/>
        <w:textAlignment w:val="auto"/>
        <w:rPr>
          <w:rFonts w:hint="default" w:ascii="Arial" w:hAnsi="Arial" w:cs="Arial"/>
          <w:color w:val="000000"/>
          <w:sz w:val="24"/>
          <w:szCs w:val="24"/>
        </w:rPr>
      </w:pPr>
    </w:p>
    <w:p w14:paraId="4C0DBAF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4"/>
          <w:szCs w:val="24"/>
        </w:rPr>
      </w:pPr>
    </w:p>
    <w:p w14:paraId="784E316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Product Technical Parameters*</w:t>
      </w:r>
    </w:p>
    <w:tbl>
      <w:tblPr>
        <w:tblStyle w:val="6"/>
        <w:tblW w:w="91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0"/>
        <w:gridCol w:w="3176"/>
        <w:gridCol w:w="1094"/>
        <w:gridCol w:w="2339"/>
      </w:tblGrid>
      <w:tr w14:paraId="6AA2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2510" w:type="dxa"/>
            <w:tcBorders>
              <w:left w:val="nil"/>
              <w:bottom w:val="nil"/>
              <w:right w:val="nil"/>
            </w:tcBorders>
            <w:vAlign w:val="center"/>
          </w:tcPr>
          <w:p w14:paraId="0A1B16E5">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4"/>
                <w:szCs w:val="24"/>
                <w:lang w:val="en-US" w:eastAsia="zh-CN" w:bidi="ar"/>
              </w:rPr>
              <w:t>Item</w:t>
            </w:r>
          </w:p>
        </w:tc>
        <w:tc>
          <w:tcPr>
            <w:tcW w:w="3176" w:type="dxa"/>
            <w:tcBorders>
              <w:top w:val="single" w:color="auto" w:sz="4" w:space="0"/>
              <w:left w:val="nil"/>
              <w:bottom w:val="nil"/>
              <w:right w:val="nil"/>
            </w:tcBorders>
            <w:vAlign w:val="center"/>
          </w:tcPr>
          <w:p w14:paraId="4C49F75A">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4"/>
                <w:szCs w:val="24"/>
                <w:lang w:val="en-US" w:eastAsia="zh-CN" w:bidi="ar"/>
              </w:rPr>
              <w:t>Parameter</w:t>
            </w:r>
          </w:p>
        </w:tc>
        <w:tc>
          <w:tcPr>
            <w:tcW w:w="1094" w:type="dxa"/>
            <w:tcBorders>
              <w:top w:val="single" w:color="auto" w:sz="4" w:space="0"/>
              <w:left w:val="nil"/>
              <w:bottom w:val="nil"/>
              <w:right w:val="nil"/>
            </w:tcBorders>
            <w:vAlign w:val="center"/>
          </w:tcPr>
          <w:p w14:paraId="4CA31F52">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4"/>
                <w:szCs w:val="24"/>
                <w:lang w:val="en-US" w:eastAsia="zh-CN" w:bidi="ar"/>
              </w:rPr>
              <w:t>Unit</w:t>
            </w:r>
          </w:p>
        </w:tc>
        <w:tc>
          <w:tcPr>
            <w:tcW w:w="2339" w:type="dxa"/>
            <w:tcBorders>
              <w:top w:val="single" w:color="auto" w:sz="4" w:space="0"/>
              <w:left w:val="nil"/>
              <w:bottom w:val="nil"/>
              <w:right w:val="nil"/>
            </w:tcBorders>
            <w:vAlign w:val="center"/>
          </w:tcPr>
          <w:p w14:paraId="28F56EA6">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4"/>
                <w:szCs w:val="24"/>
                <w:lang w:val="en-US" w:eastAsia="zh-CN" w:bidi="ar"/>
              </w:rPr>
              <w:t>Test Method</w:t>
            </w:r>
          </w:p>
        </w:tc>
      </w:tr>
      <w:tr w14:paraId="0CC49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2510" w:type="dxa"/>
            <w:tcBorders>
              <w:left w:val="nil"/>
              <w:bottom w:val="nil"/>
              <w:right w:val="nil"/>
            </w:tcBorders>
            <w:vAlign w:val="center"/>
          </w:tcPr>
          <w:p w14:paraId="79D4409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Appearance</w:t>
            </w:r>
          </w:p>
        </w:tc>
        <w:tc>
          <w:tcPr>
            <w:tcW w:w="3176" w:type="dxa"/>
            <w:tcBorders>
              <w:top w:val="single" w:color="auto" w:sz="4" w:space="0"/>
              <w:left w:val="nil"/>
              <w:bottom w:val="nil"/>
              <w:right w:val="nil"/>
            </w:tcBorders>
            <w:vAlign w:val="center"/>
          </w:tcPr>
          <w:p w14:paraId="5EBE8A70">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Milky white with blue tint</w:t>
            </w:r>
          </w:p>
        </w:tc>
        <w:tc>
          <w:tcPr>
            <w:tcW w:w="1094" w:type="dxa"/>
            <w:tcBorders>
              <w:top w:val="single" w:color="auto" w:sz="4" w:space="0"/>
              <w:left w:val="nil"/>
              <w:bottom w:val="nil"/>
              <w:right w:val="nil"/>
            </w:tcBorders>
            <w:vAlign w:val="center"/>
          </w:tcPr>
          <w:p w14:paraId="4ED1E3B2">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339" w:type="dxa"/>
            <w:tcBorders>
              <w:top w:val="single" w:color="auto" w:sz="4" w:space="0"/>
              <w:left w:val="nil"/>
              <w:bottom w:val="nil"/>
              <w:right w:val="nil"/>
            </w:tcBorders>
            <w:vAlign w:val="center"/>
          </w:tcPr>
          <w:p w14:paraId="65190AE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14074.1-1993</w:t>
            </w:r>
          </w:p>
        </w:tc>
      </w:tr>
      <w:tr w14:paraId="570A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2510" w:type="dxa"/>
            <w:tcBorders>
              <w:top w:val="nil"/>
              <w:left w:val="nil"/>
              <w:bottom w:val="nil"/>
              <w:right w:val="nil"/>
            </w:tcBorders>
            <w:vAlign w:val="center"/>
          </w:tcPr>
          <w:p w14:paraId="6D16DE96">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Solid Content</w:t>
            </w:r>
          </w:p>
        </w:tc>
        <w:tc>
          <w:tcPr>
            <w:tcW w:w="3176" w:type="dxa"/>
            <w:tcBorders>
              <w:top w:val="nil"/>
              <w:left w:val="nil"/>
              <w:bottom w:val="nil"/>
              <w:right w:val="nil"/>
            </w:tcBorders>
            <w:vAlign w:val="center"/>
          </w:tcPr>
          <w:p w14:paraId="21660B6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32.00±1.00</w:t>
            </w:r>
          </w:p>
        </w:tc>
        <w:tc>
          <w:tcPr>
            <w:tcW w:w="1094" w:type="dxa"/>
            <w:tcBorders>
              <w:top w:val="nil"/>
              <w:left w:val="nil"/>
              <w:bottom w:val="nil"/>
              <w:right w:val="nil"/>
            </w:tcBorders>
            <w:vAlign w:val="center"/>
          </w:tcPr>
          <w:p w14:paraId="62D0C323">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339" w:type="dxa"/>
            <w:tcBorders>
              <w:top w:val="nil"/>
              <w:left w:val="nil"/>
              <w:bottom w:val="nil"/>
              <w:right w:val="nil"/>
            </w:tcBorders>
            <w:vAlign w:val="center"/>
          </w:tcPr>
          <w:p w14:paraId="7DDB098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2793-1995</w:t>
            </w:r>
          </w:p>
        </w:tc>
      </w:tr>
      <w:tr w14:paraId="515F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2510" w:type="dxa"/>
            <w:tcBorders>
              <w:top w:val="nil"/>
              <w:left w:val="nil"/>
              <w:bottom w:val="nil"/>
              <w:right w:val="nil"/>
            </w:tcBorders>
            <w:vAlign w:val="center"/>
          </w:tcPr>
          <w:p w14:paraId="43FA0180">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Viscosity</w:t>
            </w:r>
          </w:p>
        </w:tc>
        <w:tc>
          <w:tcPr>
            <w:tcW w:w="3176" w:type="dxa"/>
            <w:tcBorders>
              <w:top w:val="nil"/>
              <w:left w:val="nil"/>
              <w:bottom w:val="nil"/>
              <w:right w:val="nil"/>
            </w:tcBorders>
            <w:vAlign w:val="center"/>
          </w:tcPr>
          <w:p w14:paraId="69186F9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≥240</w:t>
            </w:r>
          </w:p>
        </w:tc>
        <w:tc>
          <w:tcPr>
            <w:tcW w:w="1094" w:type="dxa"/>
            <w:tcBorders>
              <w:top w:val="nil"/>
              <w:left w:val="nil"/>
              <w:bottom w:val="nil"/>
              <w:right w:val="nil"/>
            </w:tcBorders>
            <w:vAlign w:val="center"/>
          </w:tcPr>
          <w:p w14:paraId="697E5A8F">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mPa·s</w:t>
            </w:r>
          </w:p>
        </w:tc>
        <w:tc>
          <w:tcPr>
            <w:tcW w:w="2339" w:type="dxa"/>
            <w:tcBorders>
              <w:top w:val="nil"/>
              <w:left w:val="nil"/>
              <w:bottom w:val="nil"/>
              <w:right w:val="nil"/>
            </w:tcBorders>
            <w:vAlign w:val="center"/>
          </w:tcPr>
          <w:p w14:paraId="2F65043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10247-1998</w:t>
            </w:r>
          </w:p>
        </w:tc>
      </w:tr>
      <w:tr w14:paraId="69D9E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2510" w:type="dxa"/>
            <w:tcBorders>
              <w:top w:val="nil"/>
              <w:left w:val="nil"/>
              <w:bottom w:val="nil"/>
              <w:right w:val="nil"/>
            </w:tcBorders>
            <w:vAlign w:val="center"/>
          </w:tcPr>
          <w:p w14:paraId="48784D47">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pH</w:t>
            </w:r>
          </w:p>
        </w:tc>
        <w:tc>
          <w:tcPr>
            <w:tcW w:w="3176" w:type="dxa"/>
            <w:tcBorders>
              <w:top w:val="nil"/>
              <w:left w:val="nil"/>
              <w:bottom w:val="nil"/>
              <w:right w:val="nil"/>
            </w:tcBorders>
            <w:vAlign w:val="center"/>
          </w:tcPr>
          <w:p w14:paraId="4A3978B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6.0–8.0</w:t>
            </w:r>
          </w:p>
        </w:tc>
        <w:tc>
          <w:tcPr>
            <w:tcW w:w="1094" w:type="dxa"/>
            <w:tcBorders>
              <w:top w:val="nil"/>
              <w:left w:val="nil"/>
              <w:bottom w:val="nil"/>
              <w:right w:val="nil"/>
            </w:tcBorders>
            <w:vAlign w:val="center"/>
          </w:tcPr>
          <w:p w14:paraId="19D972E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339" w:type="dxa"/>
            <w:tcBorders>
              <w:top w:val="nil"/>
              <w:left w:val="nil"/>
              <w:bottom w:val="nil"/>
              <w:right w:val="nil"/>
            </w:tcBorders>
            <w:vAlign w:val="center"/>
          </w:tcPr>
          <w:p w14:paraId="4619E102">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14518-1993</w:t>
            </w:r>
          </w:p>
        </w:tc>
      </w:tr>
      <w:tr w14:paraId="1EC51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2510" w:type="dxa"/>
            <w:tcBorders>
              <w:top w:val="nil"/>
              <w:left w:val="nil"/>
              <w:bottom w:val="nil"/>
              <w:right w:val="nil"/>
            </w:tcBorders>
            <w:vAlign w:val="center"/>
          </w:tcPr>
          <w:p w14:paraId="66D0E549">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Modulus</w:t>
            </w:r>
          </w:p>
        </w:tc>
        <w:tc>
          <w:tcPr>
            <w:tcW w:w="3176" w:type="dxa"/>
            <w:tcBorders>
              <w:top w:val="nil"/>
              <w:left w:val="nil"/>
              <w:bottom w:val="nil"/>
              <w:right w:val="nil"/>
            </w:tcBorders>
            <w:vAlign w:val="center"/>
          </w:tcPr>
          <w:p w14:paraId="76F9125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≤1.2</w:t>
            </w:r>
          </w:p>
        </w:tc>
        <w:tc>
          <w:tcPr>
            <w:tcW w:w="1094" w:type="dxa"/>
            <w:tcBorders>
              <w:top w:val="nil"/>
              <w:left w:val="nil"/>
              <w:bottom w:val="nil"/>
              <w:right w:val="nil"/>
            </w:tcBorders>
            <w:vAlign w:val="center"/>
          </w:tcPr>
          <w:p w14:paraId="4C42426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2339" w:type="dxa"/>
            <w:tcBorders>
              <w:top w:val="nil"/>
              <w:left w:val="nil"/>
              <w:bottom w:val="nil"/>
              <w:right w:val="nil"/>
            </w:tcBorders>
            <w:vAlign w:val="center"/>
          </w:tcPr>
          <w:p w14:paraId="24F9D09E">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0E2E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2510" w:type="dxa"/>
            <w:tcBorders>
              <w:top w:val="nil"/>
              <w:left w:val="nil"/>
              <w:bottom w:val="nil"/>
              <w:right w:val="nil"/>
            </w:tcBorders>
            <w:vAlign w:val="center"/>
          </w:tcPr>
          <w:p w14:paraId="096438F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Tensile Strength</w:t>
            </w:r>
          </w:p>
        </w:tc>
        <w:tc>
          <w:tcPr>
            <w:tcW w:w="3176" w:type="dxa"/>
            <w:tcBorders>
              <w:top w:val="nil"/>
              <w:left w:val="nil"/>
              <w:bottom w:val="nil"/>
              <w:right w:val="nil"/>
            </w:tcBorders>
            <w:vAlign w:val="center"/>
          </w:tcPr>
          <w:p w14:paraId="64EAC5A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≥12</w:t>
            </w:r>
          </w:p>
        </w:tc>
        <w:tc>
          <w:tcPr>
            <w:tcW w:w="1094" w:type="dxa"/>
            <w:tcBorders>
              <w:top w:val="nil"/>
              <w:left w:val="nil"/>
              <w:bottom w:val="nil"/>
              <w:right w:val="nil"/>
            </w:tcBorders>
            <w:vAlign w:val="center"/>
          </w:tcPr>
          <w:p w14:paraId="1DAD9B0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2339" w:type="dxa"/>
            <w:tcBorders>
              <w:top w:val="nil"/>
              <w:left w:val="nil"/>
              <w:bottom w:val="nil"/>
              <w:right w:val="nil"/>
            </w:tcBorders>
            <w:vAlign w:val="center"/>
          </w:tcPr>
          <w:p w14:paraId="2820D241">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3B0E9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2510" w:type="dxa"/>
            <w:tcBorders>
              <w:top w:val="nil"/>
              <w:left w:val="nil"/>
              <w:right w:val="nil"/>
            </w:tcBorders>
            <w:vAlign w:val="center"/>
          </w:tcPr>
          <w:p w14:paraId="0EDB238B">
            <w:pPr>
              <w:keepNext w:val="0"/>
              <w:keepLines w:val="0"/>
              <w:widowControl/>
              <w:suppressLineNumbers w:val="0"/>
              <w:jc w:val="center"/>
              <w:rPr>
                <w:rFonts w:hint="default" w:ascii="Arial" w:hAnsi="Arial" w:eastAsia="宋体" w:cs="Arial"/>
                <w:caps w:val="0"/>
                <w:spacing w:val="0"/>
                <w:kern w:val="0"/>
                <w:sz w:val="24"/>
                <w:szCs w:val="24"/>
                <w:lang w:val="en-US" w:eastAsia="zh-CN" w:bidi="ar"/>
              </w:rPr>
            </w:pPr>
            <w:r>
              <w:rPr>
                <w:rFonts w:hint="default" w:ascii="Arial" w:hAnsi="Arial" w:eastAsia="宋体" w:cs="Arial"/>
                <w:caps w:val="0"/>
                <w:spacing w:val="0"/>
                <w:kern w:val="0"/>
                <w:sz w:val="24"/>
                <w:szCs w:val="24"/>
                <w:lang w:val="en-US" w:eastAsia="zh-CN" w:bidi="ar"/>
              </w:rPr>
              <w:t>Elongation at Break</w:t>
            </w:r>
          </w:p>
        </w:tc>
        <w:tc>
          <w:tcPr>
            <w:tcW w:w="3176" w:type="dxa"/>
            <w:tcBorders>
              <w:top w:val="nil"/>
              <w:left w:val="nil"/>
              <w:right w:val="nil"/>
            </w:tcBorders>
            <w:vAlign w:val="center"/>
          </w:tcPr>
          <w:p w14:paraId="242011A4">
            <w:pPr>
              <w:keepNext w:val="0"/>
              <w:keepLines w:val="0"/>
              <w:widowControl/>
              <w:suppressLineNumbers w:val="0"/>
              <w:jc w:val="center"/>
              <w:rPr>
                <w:rFonts w:hint="default" w:ascii="Arial" w:hAnsi="Arial" w:eastAsia="宋体" w:cs="Arial"/>
                <w:caps w:val="0"/>
                <w:spacing w:val="0"/>
                <w:kern w:val="0"/>
                <w:sz w:val="24"/>
                <w:szCs w:val="24"/>
                <w:lang w:val="en-US" w:eastAsia="zh-CN" w:bidi="ar"/>
              </w:rPr>
            </w:pPr>
            <w:r>
              <w:rPr>
                <w:rFonts w:hint="default" w:ascii="Arial" w:hAnsi="Arial" w:eastAsia="宋体" w:cs="Arial"/>
                <w:caps w:val="0"/>
                <w:spacing w:val="0"/>
                <w:kern w:val="0"/>
                <w:sz w:val="24"/>
                <w:szCs w:val="24"/>
                <w:lang w:val="en-US" w:eastAsia="zh-CN" w:bidi="ar"/>
              </w:rPr>
              <w:t>≥620</w:t>
            </w:r>
          </w:p>
        </w:tc>
        <w:tc>
          <w:tcPr>
            <w:tcW w:w="1094" w:type="dxa"/>
            <w:tcBorders>
              <w:top w:val="nil"/>
              <w:left w:val="nil"/>
              <w:right w:val="nil"/>
            </w:tcBorders>
            <w:vAlign w:val="center"/>
          </w:tcPr>
          <w:p w14:paraId="7D4659B4">
            <w:pPr>
              <w:keepNext w:val="0"/>
              <w:keepLines w:val="0"/>
              <w:widowControl/>
              <w:suppressLineNumbers w:val="0"/>
              <w:jc w:val="center"/>
              <w:rPr>
                <w:rFonts w:hint="default" w:ascii="Arial" w:hAnsi="Arial" w:eastAsia="宋体" w:cs="Arial"/>
                <w:caps w:val="0"/>
                <w:spacing w:val="0"/>
                <w:kern w:val="0"/>
                <w:sz w:val="24"/>
                <w:szCs w:val="24"/>
                <w:lang w:val="en-US" w:eastAsia="zh-CN" w:bidi="ar"/>
              </w:rPr>
            </w:pPr>
            <w:r>
              <w:rPr>
                <w:rFonts w:hint="default" w:ascii="Arial" w:hAnsi="Arial" w:eastAsia="宋体" w:cs="Arial"/>
                <w:caps w:val="0"/>
                <w:spacing w:val="0"/>
                <w:kern w:val="0"/>
                <w:sz w:val="24"/>
                <w:szCs w:val="24"/>
                <w:lang w:val="en-US" w:eastAsia="zh-CN" w:bidi="ar"/>
              </w:rPr>
              <w:t>%</w:t>
            </w:r>
          </w:p>
        </w:tc>
        <w:tc>
          <w:tcPr>
            <w:tcW w:w="2339" w:type="dxa"/>
            <w:tcBorders>
              <w:top w:val="nil"/>
              <w:left w:val="nil"/>
              <w:right w:val="nil"/>
            </w:tcBorders>
            <w:vAlign w:val="center"/>
          </w:tcPr>
          <w:p w14:paraId="5E82C0C6">
            <w:pPr>
              <w:keepNext w:val="0"/>
              <w:keepLines w:val="0"/>
              <w:widowControl/>
              <w:suppressLineNumbers w:val="0"/>
              <w:jc w:val="center"/>
              <w:rPr>
                <w:rFonts w:hint="default" w:ascii="Arial" w:hAnsi="Arial" w:eastAsia="宋体" w:cs="Arial"/>
                <w:caps w:val="0"/>
                <w:spacing w:val="0"/>
                <w:kern w:val="0"/>
                <w:sz w:val="24"/>
                <w:szCs w:val="24"/>
                <w:lang w:val="en-US" w:eastAsia="zh-CN" w:bidi="ar"/>
              </w:rPr>
            </w:pPr>
            <w:r>
              <w:rPr>
                <w:rFonts w:hint="default" w:ascii="Arial" w:hAnsi="Arial" w:eastAsia="宋体" w:cs="Arial"/>
                <w:caps w:val="0"/>
                <w:spacing w:val="0"/>
                <w:kern w:val="0"/>
                <w:sz w:val="24"/>
                <w:szCs w:val="24"/>
                <w:lang w:val="en-US" w:eastAsia="zh-CN" w:bidi="ar"/>
              </w:rPr>
              <w:t>/</w:t>
            </w:r>
          </w:p>
        </w:tc>
      </w:tr>
    </w:tbl>
    <w:p w14:paraId="6F8B440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*The above parameters represent typical results only and shall not be regarded as specifications. Refer to the actual COA for details.</w:t>
      </w:r>
    </w:p>
    <w:p w14:paraId="6380171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4"/>
          <w:szCs w:val="24"/>
        </w:rPr>
      </w:pPr>
    </w:p>
    <w:p w14:paraId="05B0CB1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Storage</w:t>
      </w:r>
    </w:p>
    <w:p w14:paraId="443828C9">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color w:val="000000"/>
          <w:sz w:val="24"/>
          <w:szCs w:val="24"/>
        </w:rPr>
      </w:pPr>
      <w:r>
        <w:rPr>
          <w:color w:val="000000"/>
          <w:sz w:val="24"/>
          <w:szCs w:val="24"/>
          <w:bdr w:val="none" w:color="auto" w:sz="0" w:space="0"/>
        </w:rPr>
        <w:t>Store in the original sealed container.</w:t>
      </w:r>
    </w:p>
    <w:p w14:paraId="6B3E29AF">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color w:val="000000"/>
          <w:sz w:val="24"/>
          <w:szCs w:val="24"/>
        </w:rPr>
      </w:pPr>
      <w:r>
        <w:rPr>
          <w:color w:val="000000"/>
          <w:sz w:val="24"/>
          <w:szCs w:val="24"/>
          <w:bdr w:val="none" w:color="auto" w:sz="0" w:space="0"/>
        </w:rPr>
        <w:t>Recommended storage temperature: 6–28°C.</w:t>
      </w:r>
    </w:p>
    <w:p w14:paraId="14086183">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color w:val="000000"/>
          <w:sz w:val="24"/>
          <w:szCs w:val="24"/>
        </w:rPr>
      </w:pPr>
      <w:r>
        <w:rPr>
          <w:color w:val="000000"/>
          <w:sz w:val="24"/>
          <w:szCs w:val="24"/>
          <w:bdr w:val="none" w:color="auto" w:sz="0" w:space="0"/>
        </w:rPr>
        <w:t>Use within 6 months from the production date.</w:t>
      </w:r>
    </w:p>
    <w:p w14:paraId="072E95A9">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color w:val="000000"/>
          <w:sz w:val="24"/>
          <w:szCs w:val="24"/>
        </w:rPr>
      </w:pPr>
      <w:r>
        <w:rPr>
          <w:color w:val="000000"/>
          <w:sz w:val="24"/>
          <w:szCs w:val="24"/>
          <w:bdr w:val="none" w:color="auto" w:sz="0" w:space="0"/>
        </w:rPr>
        <w:t>Avoid direct sunlight and contamination by acids, alkalis or other substances.</w:t>
      </w:r>
    </w:p>
    <w:p w14:paraId="5D24108E">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0" w:right="0" w:rightChars="0"/>
        <w:jc w:val="left"/>
        <w:textAlignment w:val="auto"/>
        <w:rPr>
          <w:rFonts w:hint="default" w:ascii="Arial" w:hAnsi="Arial" w:cs="Arial"/>
          <w:color w:val="000000"/>
          <w:sz w:val="24"/>
          <w:szCs w:val="24"/>
        </w:rPr>
      </w:pPr>
    </w:p>
    <w:p w14:paraId="5D20232D">
      <w:pPr>
        <w:spacing w:line="360" w:lineRule="auto"/>
        <w:ind w:firstLine="480"/>
        <w:rPr>
          <w:rFonts w:hint="default" w:ascii="Arial" w:hAnsi="Arial" w:eastAsia="微软雅黑" w:cs="Arial"/>
          <w:sz w:val="24"/>
          <w:szCs w:val="24"/>
        </w:rPr>
      </w:pPr>
    </w:p>
    <w:tbl>
      <w:tblPr>
        <w:tblStyle w:val="7"/>
        <w:tblW w:w="0" w:type="auto"/>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9"/>
      </w:tblGrid>
      <w:tr w14:paraId="53D3D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9" w:type="dxa"/>
            <w:tcBorders>
              <w:left w:val="nil"/>
              <w:bottom w:val="nil"/>
              <w:right w:val="nil"/>
            </w:tcBorders>
          </w:tcPr>
          <w:p w14:paraId="34F2708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sz w:val="24"/>
                <w:szCs w:val="24"/>
              </w:rPr>
            </w:pPr>
            <w:r>
              <w:rPr>
                <w:rFonts w:hint="default" w:ascii="Arial" w:hAnsi="Arial" w:eastAsia="宋体" w:cs="Arial"/>
                <w:sz w:val="24"/>
                <w:szCs w:val="24"/>
              </w:rPr>
              <w:t>Prolonged storage at low temperatures may cause irreversible damage to the product. Keep the container sealed; otherwise, water evaporation will form an insoluble polymer film on the surface. Expiration of the 6-month shelf life does not mean the product is out of specification. Test before use to verify compliance with specifications and technical parameters.</w:t>
            </w:r>
          </w:p>
        </w:tc>
      </w:tr>
    </w:tbl>
    <w:p w14:paraId="01C13AE9">
      <w:pPr>
        <w:spacing w:line="360" w:lineRule="auto"/>
        <w:rPr>
          <w:rFonts w:hint="default" w:ascii="Arial" w:hAnsi="Arial" w:eastAsia="微软雅黑" w:cs="Arial"/>
          <w:b/>
          <w:bCs/>
          <w:sz w:val="24"/>
          <w:szCs w:val="24"/>
        </w:rPr>
      </w:pPr>
    </w:p>
    <w:p w14:paraId="6963A0E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Precautions</w:t>
      </w:r>
    </w:p>
    <w:p w14:paraId="3CA0DA08">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color w:val="000000"/>
          <w:sz w:val="24"/>
          <w:szCs w:val="24"/>
        </w:rPr>
      </w:pPr>
      <w:r>
        <w:rPr>
          <w:color w:val="000000"/>
          <w:sz w:val="24"/>
          <w:szCs w:val="24"/>
          <w:bdr w:val="none" w:color="auto" w:sz="0" w:space="0"/>
        </w:rPr>
        <w:t>Adding a curing agent may improve fastness but could affect hand feel.</w:t>
      </w:r>
    </w:p>
    <w:p w14:paraId="069687CA">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color w:val="000000"/>
          <w:sz w:val="24"/>
          <w:szCs w:val="24"/>
        </w:rPr>
      </w:pPr>
      <w:r>
        <w:rPr>
          <w:color w:val="000000"/>
          <w:sz w:val="24"/>
          <w:szCs w:val="24"/>
          <w:bdr w:val="none" w:color="auto" w:sz="0" w:space="0"/>
        </w:rPr>
        <w:t>Waterborne resin added with crosslinking agent must be used within 24 hours.</w:t>
      </w:r>
    </w:p>
    <w:p w14:paraId="7DECEF3D">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hanging="425" w:firstLineChars="0"/>
        <w:jc w:val="left"/>
        <w:rPr>
          <w:color w:val="000000"/>
          <w:sz w:val="24"/>
          <w:szCs w:val="24"/>
        </w:rPr>
      </w:pPr>
      <w:r>
        <w:rPr>
          <w:color w:val="000000"/>
          <w:sz w:val="24"/>
          <w:szCs w:val="24"/>
          <w:bdr w:val="none" w:color="auto" w:sz="0" w:space="0"/>
        </w:rPr>
        <w:t>Do not mix with other cationic resins.</w:t>
      </w:r>
    </w:p>
    <w:p w14:paraId="124B20D6">
      <w:pPr>
        <w:tabs>
          <w:tab w:val="left" w:pos="720"/>
          <w:tab w:val="left" w:pos="1980"/>
        </w:tabs>
        <w:spacing w:line="360" w:lineRule="auto"/>
        <w:ind w:left="659" w:leftChars="314"/>
        <w:rPr>
          <w:rFonts w:hint="default" w:ascii="Arial" w:hAnsi="Arial" w:eastAsia="微软雅黑" w:cs="Arial"/>
          <w:spacing w:val="-4"/>
          <w:sz w:val="24"/>
          <w:szCs w:val="24"/>
        </w:rPr>
      </w:pPr>
    </w:p>
    <w:p w14:paraId="67377972">
      <w:pPr>
        <w:tabs>
          <w:tab w:val="left" w:pos="720"/>
          <w:tab w:val="left" w:pos="1980"/>
        </w:tabs>
        <w:spacing w:line="360" w:lineRule="auto"/>
        <w:ind w:left="420" w:leftChars="200" w:firstLine="232" w:firstLineChars="100"/>
        <w:rPr>
          <w:rFonts w:hint="default" w:ascii="Arial" w:hAnsi="Arial" w:eastAsia="微软雅黑" w:cs="Arial"/>
          <w:spacing w:val="-4"/>
          <w:sz w:val="24"/>
          <w:szCs w:val="24"/>
        </w:rPr>
      </w:pPr>
    </w:p>
    <w:p w14:paraId="563B0419">
      <w:pPr>
        <w:tabs>
          <w:tab w:val="left" w:pos="921"/>
        </w:tabs>
        <w:spacing w:line="360" w:lineRule="auto"/>
        <w:rPr>
          <w:rFonts w:hint="default" w:ascii="Arial" w:hAnsi="Arial" w:eastAsia="微软雅黑" w:cs="Arial"/>
          <w:b/>
          <w:bCs/>
          <w:sz w:val="24"/>
          <w:szCs w:val="24"/>
        </w:rPr>
      </w:pPr>
    </w:p>
    <w:p w14:paraId="31190C53">
      <w:pPr>
        <w:spacing w:line="360" w:lineRule="auto"/>
        <w:rPr>
          <w:rFonts w:hint="default" w:ascii="Arial" w:hAnsi="Arial" w:eastAsia="微软雅黑" w:cs="Arial"/>
          <w:b/>
          <w:bCs/>
          <w:sz w:val="24"/>
          <w:szCs w:val="24"/>
        </w:rPr>
      </w:pPr>
    </w:p>
    <w:p w14:paraId="28FA8C71">
      <w:pPr>
        <w:spacing w:line="360" w:lineRule="auto"/>
        <w:rPr>
          <w:rFonts w:hint="default" w:ascii="Arial" w:hAnsi="Arial" w:eastAsia="微软雅黑" w:cs="Arial"/>
          <w:b/>
          <w:bCs/>
          <w:sz w:val="24"/>
          <w:szCs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79E4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2EEA9F0C">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default" w:ascii="Arial" w:hAnsi="Arial" w:eastAsia="微软雅黑" w:cs="Arial"/>
                <w:b/>
                <w:bCs/>
                <w:sz w:val="24"/>
                <w:szCs w:val="24"/>
              </w:rPr>
            </w:pPr>
            <w:bookmarkStart w:id="0" w:name="_GoBack"/>
            <w:r>
              <w:rPr>
                <w:rFonts w:hint="default" w:ascii="Arial" w:hAnsi="Arial" w:eastAsia="宋体" w:cs="Arial"/>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bookmarkEnd w:id="0"/>
          </w:p>
        </w:tc>
      </w:tr>
    </w:tbl>
    <w:p w14:paraId="6FC77344">
      <w:pPr>
        <w:spacing w:line="360" w:lineRule="auto"/>
        <w:rPr>
          <w:rFonts w:hint="default" w:ascii="Arial" w:hAnsi="Arial" w:eastAsia="微软雅黑" w:cs="Arial"/>
          <w:b/>
          <w:bCs/>
          <w:sz w:val="24"/>
          <w:szCs w:val="24"/>
        </w:rPr>
      </w:pPr>
    </w:p>
    <w:sectPr>
      <w:headerReference r:id="rId4" w:type="first"/>
      <w:footerReference r:id="rId6" w:type="first"/>
      <w:headerReference r:id="rId3" w:type="default"/>
      <w:footerReference r:id="rId5" w:type="default"/>
      <w:pgSz w:w="11906" w:h="16838"/>
      <w:pgMar w:top="850" w:right="1417" w:bottom="850" w:left="1417" w:header="851" w:footer="397"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5454">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2336"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2336;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51830">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5CF34">
    <w:pPr>
      <w:pStyle w:val="5"/>
      <w:rPr>
        <w:sz w:val="10"/>
        <w:szCs w:val="10"/>
      </w:rPr>
    </w:pPr>
    <w:r>
      <w:rPr>
        <w:sz w:val="10"/>
      </w:rPr>
      <mc:AlternateContent>
        <mc:Choice Requires="wps">
          <w:drawing>
            <wp:anchor distT="0" distB="0" distL="114300" distR="114300" simplePos="0" relativeHeight="251661312" behindDoc="0" locked="0" layoutInCell="1" allowOverlap="1">
              <wp:simplePos x="0" y="0"/>
              <wp:positionH relativeFrom="column">
                <wp:posOffset>3646805</wp:posOffset>
              </wp:positionH>
              <wp:positionV relativeFrom="paragraph">
                <wp:posOffset>535940</wp:posOffset>
              </wp:positionV>
              <wp:extent cx="1828800" cy="44259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4425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77FE1">
                          <w:pPr>
                            <w:rPr>
                              <w:rFonts w:hint="eastAsia"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7.15pt;margin-top:42.2pt;height:34.85pt;width:144pt;mso-wrap-style:none;z-index:251661312;mso-width-relative:page;mso-height-relative:page;" filled="f" stroked="f" coordsize="21600,21600" o:gfxdata="UEsDBAoAAAAAAIdO4kAAAAAAAAAAAAAAAAAEAAAAZHJzL1BLAwQUAAAACACHTuJA9mYBZNwAAAAK&#10;AQAADwAAAGRycy9kb3ducmV2LnhtbE2PTUvDQBCG74L/YRnBi7S7qWkMMZuCgiJSlbYiPW6zaxKa&#10;nQ27m378e8eTHmfm4Z3nLRcn27OD8aFzKCGZCmAGa6c7bCR8bp4mObAQFWrVOzQSzibAorq8KFWh&#10;3RFX5rCODaMQDIWS0MY4FJyHujVWhakbDNLt23mrIo2+4dqrI4Xbns+EyLhVHdKHVg3msTX1fj1a&#10;Cfv29eZDPL89fGUvZ/++Gd3WL7dSXl8l4h5YNKf4B8OvPqlDRU47N6IOrJcwv0tvCZWQpykwAvJs&#10;RosdkfM0AV6V/H+F6gdQSwMEFAAAAAgAh07iQLZMR/Y6AgAAZAQAAA4AAABkcnMvZTJvRG9jLnht&#10;bK1UwW4TMRC9I/EPlu90k5CUNOqmCq2KkCpaqSDOjtfbXcn2WLbT3fIB8AeceuHOd/U7ePYmaVU4&#10;9MDFO/aM38x7ntnjk95odqt8aMmWfHww4kxZSVVrb0r+5fP5mzlnIQpbCU1WlfxOBX6yfP3quHML&#10;NaGGdKU8A4gNi86VvInRLYoiyEYZEQ7IKQtnTd6IiK2/KSovOqAbXUxGo8OiI185T1KFgNOzwcm3&#10;iP4lgFTXrVRnJDdG2TigeqVFBKXQtC7wZa62rpWMl3UdVGS65GAa84oksNdpLZbHYnHjhWtauS1B&#10;vKSEZ5yMaC2S7qHORBRs49u/oEwrPQWq44EkUwxEsiJgMR490+a6EU5lLpA6uL3o4f/Byk+3V561&#10;VclnnFlh8OAPP3883P9++PWdzZI8nQsLRF07xMX+PfVomt15wGFi3dfepC/4MPgh7t1eXNVHJtOl&#10;+WQ+H8El4ZtOJ7OjDF883nY+xA+KDEtGyT0eL2sqbi9CRCUI3YWkZJbOW63zA2rLupIfvp2N8oW9&#10;Bze0xcXEYag1WbFf91tia6ruwMvT0BjByfMWyS9EiFfCoxNQL2YlXmKpNSEJbS3OGvLf/nWe4vFA&#10;8HLWobNKbjFInOmPFg93NJ5OARrzZjp7N8HGP/Wsn3rsxpwSWneMmXQymyk+6p1ZezJfMVCrlBMu&#10;YSUylzzuzNM4dDsGUqrVKgeh9ZyIF/bayQQ9iLnaRKrbrHMSaVBmqx2aL8u/HZTU3U/3Oerx57D8&#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PZmAWTcAAAACgEAAA8AAAAAAAAAAQAgAAAAIgAAAGRy&#10;cy9kb3ducmV2LnhtbFBLAQIUABQAAAAIAIdO4kC2TEf2OgIAAGQEAAAOAAAAAAAAAAEAIAAAACsB&#10;AABkcnMvZTJvRG9jLnhtbFBLBQYAAAAABgAGAFkBAADXBQAAAAA=&#10;">
              <v:fill on="f" focussize="0,0"/>
              <v:stroke on="f" weight="0.5pt"/>
              <v:imagedata o:title=""/>
              <o:lock v:ext="edit" aspectratio="f"/>
              <v:textbox>
                <w:txbxContent>
                  <w:p w14:paraId="1C677FE1">
                    <w:pPr>
                      <w:rPr>
                        <w:rFonts w:hint="eastAsia"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rPr>
      <mc:AlternateContent>
        <mc:Choice Requires="wps">
          <w:drawing>
            <wp:anchor distT="0" distB="0" distL="114300" distR="114300" simplePos="0" relativeHeight="251659264" behindDoc="0" locked="0" layoutInCell="1" allowOverlap="1">
              <wp:simplePos x="0" y="0"/>
              <wp:positionH relativeFrom="column">
                <wp:posOffset>4434205</wp:posOffset>
              </wp:positionH>
              <wp:positionV relativeFrom="paragraph">
                <wp:posOffset>-7620</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CD6B">
                          <w:pPr>
                            <w:rPr>
                              <w:rFonts w:hint="default"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t>868</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9.15pt;margin-top:-0.6pt;height:48.75pt;width:125.75pt;z-index:251659264;mso-width-relative:page;mso-height-relative:page;" filled="f" stroked="f" coordsize="21600,21600" o:gfxdata="UEsDBAoAAAAAAIdO4kAAAAAAAAAAAAAAAAAEAAAAZHJzL1BLAwQUAAAACACHTuJAqFHGpNoAAAAJ&#10;AQAADwAAAGRycy9kb3ducmV2LnhtbE2PTU+DQBCG7yb+h82YeGsXqBJAlsaQNCZGD629eBvYKRDZ&#10;XWS3H/rrHU96m8k8eed5y/XFjOJEsx+cVRAvIxBkW6cH2ynYv20WGQgf0GocnSUFX+RhXV1flVho&#10;d7ZbOu1CJzjE+gIV9CFMhZS+7cmgX7qJLN8ObjYYeJ07qWc8c7gZZRJFqTQ4WP7Q40R1T+3H7mgU&#10;PNebV9w2icm+x/rp5fA4fe7f75W6vYmjBxCBLuEPhl99VoeKnRp3tNqLUUGaZytGFSziBAQD+V3O&#10;XRoe0hXIqpT/G1Q/UEsDBBQAAAAIAIdO4kBIqARrOwIAAGYEAAAOAAAAZHJzL2Uyb0RvYy54bWyt&#10;VM2O0zAQviPxDpbvNEl/dmnVdFW2KkJasSsVxNl1nCaS7TG226Q8ALzBnrhw57n6HIydtlstHPbA&#10;xRl7xt/4+2Ym05tWSbIT1tWgc5r1UkqE5lDUepPTz5+Wb95S4jzTBZOgRU73wtGb2etX08ZMRB8q&#10;kIWwBEG0mzQmp5X3ZpIkjldCMdcDIzQ6S7CKedzaTVJY1iC6kkk/Ta+SBmxhLHDhHJ4uOic9ItqX&#10;AEJZ1lwsgG+V0L5DtUIyj5RcVRtHZ/G1ZSm4vy9LJzyROUWmPq6YBO11WJPZlE02lpmq5scnsJc8&#10;4RknxWqNSc9QC+YZ2dr6LyhVcwsOSt/joJKOSFQEWWTpM21WFTMickGpnTmL7v4fLP+4e7CkLnI6&#10;oEQzhQU/PP44/Px9+PWdDII8jXETjFoZjPPtO2ixaU7nDg8D67a0KnyRD0E/irs/iytaT3i4NBpf&#10;p/0RJRx9V9k4Qxvhk6fbxjr/XoAiwcipxeJFTdnuzvku9BQSkmlY1lLGAkpNGgQdjNJ44exBcKkx&#10;R+DQvTVYvl23R2JrKPbIy0LXGM7wZY3J75jzD8xiJyAVnBV/j0spAZPA0aKkAvvtX+chHguEXkoa&#10;7Kycuq9bZgUl8oPG0o2z4TC0YtwMR9d93NhLz/rSo7fqFrB5M5xKw6MZ4r08maUF9QVHah6yootp&#10;jrlz6k/mre/6HUeSi/k8BmHzGebv9MrwAN3JOd96KOuodJCp0+aoHrZfrNVxVEJ/X+5j1NPvYfY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qFHGpNoAAAAJAQAADwAAAAAAAAABACAAAAAiAAAAZHJz&#10;L2Rvd25yZXYueG1sUEsBAhQAFAAAAAgAh07iQEioBGs7AgAAZgQAAA4AAAAAAAAAAQAgAAAAKQEA&#10;AGRycy9lMm9Eb2MueG1sUEsFBgAAAAAGAAYAWQEAANYFAAAAAA==&#10;">
              <v:fill on="f" focussize="0,0"/>
              <v:stroke on="f" weight="0.5pt"/>
              <v:imagedata o:title=""/>
              <o:lock v:ext="edit" aspectratio="f"/>
              <v:textbox>
                <w:txbxContent>
                  <w:p w14:paraId="2AA1CD6B">
                    <w:pPr>
                      <w:rPr>
                        <w:rFonts w:hint="default"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t>868</w:t>
                    </w:r>
                  </w:p>
                </w:txbxContent>
              </v:textbox>
            </v:shape>
          </w:pict>
        </mc:Fallback>
      </mc:AlternateContent>
    </w:r>
    <w:r>
      <w:rPr>
        <w:sz w:val="10"/>
        <w:szCs w:val="10"/>
      </w:rPr>
      <w:drawing>
        <wp:inline distT="0" distB="0" distL="0" distR="0">
          <wp:extent cx="773430" cy="877570"/>
          <wp:effectExtent l="0" t="0" r="7620" b="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2929E01E">
    <w:pPr>
      <w:pStyle w:val="5"/>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D77E">
    <w:pPr>
      <w:pStyle w:val="5"/>
    </w:pPr>
  </w:p>
  <w:p w14:paraId="4889E539">
    <w:pPr>
      <w:pStyle w:val="5"/>
    </w:pPr>
  </w:p>
  <w:p w14:paraId="6D2B9D7C">
    <w:pPr>
      <w:pStyle w:val="5"/>
    </w:pPr>
  </w:p>
  <w:p w14:paraId="3D459FD3">
    <w:pPr>
      <w:pStyle w:val="5"/>
    </w:pPr>
  </w:p>
  <w:p w14:paraId="33112C35">
    <w:pPr>
      <w:pStyle w:val="5"/>
    </w:pPr>
  </w:p>
  <w:p w14:paraId="34D9BCD4">
    <w:pPr>
      <w:pStyle w:val="5"/>
    </w:pPr>
  </w:p>
  <w:p w14:paraId="202DE71C">
    <w:pPr>
      <w:pStyle w:val="5"/>
    </w:pPr>
  </w:p>
  <w:p w14:paraId="1C07EBB3">
    <w:pPr>
      <w:pStyle w:val="5"/>
    </w:pPr>
  </w:p>
  <w:p w14:paraId="76E9F349">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CA7AC4"/>
    <w:multiLevelType w:val="singleLevel"/>
    <w:tmpl w:val="D8CA7AC4"/>
    <w:lvl w:ilvl="0" w:tentative="0">
      <w:start w:val="1"/>
      <w:numFmt w:val="decimal"/>
      <w:lvlText w:val="%1."/>
      <w:lvlJc w:val="left"/>
      <w:pPr>
        <w:ind w:left="425" w:hanging="425"/>
      </w:pPr>
      <w:rPr>
        <w:rFonts w:hint="default"/>
      </w:rPr>
    </w:lvl>
  </w:abstractNum>
  <w:abstractNum w:abstractNumId="1">
    <w:nsid w:val="27F60778"/>
    <w:multiLevelType w:val="singleLevel"/>
    <w:tmpl w:val="27F60778"/>
    <w:lvl w:ilvl="0" w:tentative="0">
      <w:start w:val="1"/>
      <w:numFmt w:val="decimal"/>
      <w:lvlText w:val="%1."/>
      <w:lvlJc w:val="left"/>
      <w:pPr>
        <w:ind w:left="425" w:hanging="425"/>
      </w:pPr>
      <w:rPr>
        <w:rFonts w:hint="default"/>
      </w:rPr>
    </w:lvl>
  </w:abstractNum>
  <w:abstractNum w:abstractNumId="2">
    <w:nsid w:val="4A213ED6"/>
    <w:multiLevelType w:val="singleLevel"/>
    <w:tmpl w:val="4A213ED6"/>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wNGMxNTYzNWNmZDhkMGY5NGY2MzU1NDNkNDEzMzQifQ=="/>
    <w:docVar w:name="KSO_WPS_MARK_KEY" w:val="9e5ed2ef-df1b-49b7-8e7e-1ada10df08c8"/>
  </w:docVars>
  <w:rsids>
    <w:rsidRoot w:val="00912B14"/>
    <w:rsid w:val="000776C9"/>
    <w:rsid w:val="00136635"/>
    <w:rsid w:val="00137375"/>
    <w:rsid w:val="00156019"/>
    <w:rsid w:val="00296707"/>
    <w:rsid w:val="002B47C8"/>
    <w:rsid w:val="002F6D5B"/>
    <w:rsid w:val="003550AC"/>
    <w:rsid w:val="00455912"/>
    <w:rsid w:val="00505831"/>
    <w:rsid w:val="00527365"/>
    <w:rsid w:val="005D53FC"/>
    <w:rsid w:val="006832E1"/>
    <w:rsid w:val="006C5A6C"/>
    <w:rsid w:val="006F2A81"/>
    <w:rsid w:val="007022F1"/>
    <w:rsid w:val="00867CB0"/>
    <w:rsid w:val="00912B14"/>
    <w:rsid w:val="0097112D"/>
    <w:rsid w:val="00DF6CF9"/>
    <w:rsid w:val="00EA77A4"/>
    <w:rsid w:val="00F02A8D"/>
    <w:rsid w:val="00F06977"/>
    <w:rsid w:val="00F253D2"/>
    <w:rsid w:val="00F300DC"/>
    <w:rsid w:val="00FF31FE"/>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6A073C"/>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B8A4E7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1D5F1C"/>
    <w:rsid w:val="6D5957F1"/>
    <w:rsid w:val="6D745DA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373FDC"/>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326</Words>
  <Characters>1950</Characters>
  <Lines>5</Lines>
  <Paragraphs>1</Paragraphs>
  <TotalTime>9</TotalTime>
  <ScaleCrop>false</ScaleCrop>
  <LinksUpToDate>false</LinksUpToDate>
  <CharactersWithSpaces>2227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2025-03-18T01:34:00Z</dcterms:created>
  <dc:creator>Davis</dc:creator>
  <cp:lastModifiedBy>戴眼镜的麻杆。</cp:lastModifiedBy>
  <cp:lastPrinted>2024-06-20T10:29:00Z</cp:lastPrinted>
  <dcterms:modified xsi:type="dcterms:W3CDTF">2026-05-07T04:56:54Z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FF8BA40A454F4A82A41DBF1B92C41A95_13</vt:lpwstr>
  </property>
  <property fmtid="{D5CDD505-2E9C-101B-9397-08002B2CF9AE}" pid="4" name="KSOTemplateDocerSaveRecord">
    <vt:lpwstr>eyJoZGlkIjoiN2FkMmFjNTIzYTc2MzM4YzI5MjhhZjFlYzFlYTkyNWUiLCJ1c2VySWQiOiIxMTk5MzAzNjYzIn0=</vt:lpwstr>
  </property>
</Properties>
</file>